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578" w:rsidRDefault="00C97578" w:rsidP="00C975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11"/>
        <w:gridCol w:w="1843"/>
        <w:gridCol w:w="3827"/>
      </w:tblGrid>
      <w:tr w:rsidR="00C97578" w:rsidTr="008B6A61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97578" w:rsidRDefault="00C97578" w:rsidP="008B6A61">
            <w:pPr>
              <w:tabs>
                <w:tab w:val="left" w:pos="835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АДЫГЕЯ</w:t>
            </w:r>
          </w:p>
          <w:p w:rsidR="00C97578" w:rsidRDefault="00C97578" w:rsidP="008B6A61">
            <w:pPr>
              <w:spacing w:after="0" w:line="20" w:lineRule="atLeast"/>
              <w:ind w:firstLine="13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  <w:t>Администрация</w:t>
            </w:r>
          </w:p>
          <w:p w:rsidR="00C97578" w:rsidRDefault="00C97578" w:rsidP="008B6A61">
            <w:pPr>
              <w:spacing w:after="0" w:line="20" w:lineRule="atLeast"/>
              <w:ind w:hanging="70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  <w:t xml:space="preserve"> муниципального образования</w:t>
            </w:r>
          </w:p>
          <w:p w:rsidR="00C97578" w:rsidRDefault="00C97578" w:rsidP="008B6A61">
            <w:pPr>
              <w:spacing w:after="0" w:line="20" w:lineRule="atLeast"/>
              <w:ind w:firstLine="13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  <w:t>«Шовгеновский район»</w:t>
            </w:r>
          </w:p>
          <w:p w:rsidR="00C97578" w:rsidRDefault="00C97578" w:rsidP="008B6A61">
            <w:pPr>
              <w:spacing w:after="0" w:line="20" w:lineRule="atLeast"/>
              <w:ind w:left="13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  <w:t xml:space="preserve">385440, а.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  <w:t>Хакуринохабль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  <w:t xml:space="preserve">, </w:t>
            </w:r>
          </w:p>
          <w:p w:rsidR="00C97578" w:rsidRDefault="00C97578" w:rsidP="008B6A61">
            <w:pPr>
              <w:spacing w:after="0" w:line="20" w:lineRule="atLeast"/>
              <w:ind w:left="13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  <w:t>Шовгенова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  <w:t>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97578" w:rsidRDefault="00C97578" w:rsidP="008B6A6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3AA8A3AB" wp14:editId="729BB1EE">
                  <wp:extent cx="935990" cy="87820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87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97578" w:rsidRDefault="00C97578" w:rsidP="008B6A61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АДЫГЭ РЕСПУБЛИК</w:t>
            </w:r>
          </w:p>
          <w:p w:rsidR="00C97578" w:rsidRDefault="00C97578" w:rsidP="008B6A61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Муниципальнэ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образованиеу</w:t>
            </w:r>
            <w:proofErr w:type="spellEnd"/>
          </w:p>
          <w:p w:rsidR="00C97578" w:rsidRDefault="00C97578" w:rsidP="008B6A61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Шэуджэн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район»</w:t>
            </w:r>
          </w:p>
          <w:p w:rsidR="00C97578" w:rsidRDefault="00C97578" w:rsidP="008B6A61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иадминистрацие</w:t>
            </w:r>
            <w:proofErr w:type="spellEnd"/>
          </w:p>
          <w:p w:rsidR="00C97578" w:rsidRDefault="00C97578" w:rsidP="008B6A61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  <w:t xml:space="preserve">385440,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  <w:t>къ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  <w:t>Хьакурынэхьабл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  <w:t>,</w:t>
            </w:r>
          </w:p>
          <w:p w:rsidR="00C97578" w:rsidRDefault="00C97578" w:rsidP="008B6A61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  <w:t>ур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  <w:t>Шэуджэным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  <w:t>ыц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val="en-US" w:eastAsia="ru-RU"/>
              </w:rPr>
              <w:t>I</w:t>
            </w:r>
            <w:proofErr w:type="gram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  <w:t>, 9</w:t>
            </w:r>
          </w:p>
        </w:tc>
      </w:tr>
    </w:tbl>
    <w:p w:rsidR="00C97578" w:rsidRDefault="00C97578" w:rsidP="00C975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97578" w:rsidRDefault="00D5431C" w:rsidP="00C975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C97578" w:rsidRDefault="00C97578" w:rsidP="00C975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97578" w:rsidRDefault="00225116" w:rsidP="00C975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251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 «12» января 2015г. №23</w:t>
      </w:r>
    </w:p>
    <w:p w:rsidR="00225116" w:rsidRDefault="00225116" w:rsidP="00C975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97578" w:rsidRDefault="00C97578" w:rsidP="00C975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Хакуринохабль</w:t>
      </w:r>
      <w:proofErr w:type="spellEnd"/>
    </w:p>
    <w:p w:rsidR="00C97578" w:rsidRDefault="00C97578" w:rsidP="00C975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7578" w:rsidRDefault="00C97578" w:rsidP="00C975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«Об утверждении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норматива стоимости одного квадратного метра общей площади жилья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Шовгеновскому району для приобретения жилья детям-сиротам и детям, оставшимся без попечения родителей, лицам из числа детей-сирот и детей, оставшихся без попечения родителей»</w:t>
      </w:r>
    </w:p>
    <w:p w:rsidR="00C97578" w:rsidRDefault="00C97578" w:rsidP="00C975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7578" w:rsidRDefault="00C97578" w:rsidP="00C975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 соответствии с приказом Министерства строительства и жилищно-коммунального хозяйства Российской Федерации от 8 сентября 2014 года № 525/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показателях средней рыночной стоимости одного квадратного метра общей площади жилого помещения по субъектам </w:t>
      </w:r>
      <w:r w:rsidR="00D5431C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оссийской Федерации на  квартал 2014 года», руководствуясь п.п.3 п.1 ст.31 Устава МО «Шовгеновский район» глава администрации МО «Шовгеновский район»</w:t>
      </w:r>
    </w:p>
    <w:p w:rsidR="00C97578" w:rsidRDefault="00C97578" w:rsidP="00C975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7578" w:rsidRDefault="00C97578" w:rsidP="00C975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C97578" w:rsidRDefault="00C97578" w:rsidP="00C975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7578" w:rsidRDefault="00C97578" w:rsidP="00C97578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1.Установить на 2015 </w:t>
      </w:r>
      <w:r w:rsidR="00D5431C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од стоимость одного квадратного метра общей площади жилья в Шовгеновском районе в размере 24960 (двадцать четыре ты</w:t>
      </w:r>
      <w:r w:rsidR="00D5431C">
        <w:rPr>
          <w:rFonts w:ascii="Times New Roman" w:eastAsia="Calibri" w:hAnsi="Times New Roman" w:cs="Times New Roman"/>
          <w:sz w:val="28"/>
          <w:szCs w:val="28"/>
          <w:lang w:eastAsia="ru-RU"/>
        </w:rPr>
        <w:t>сячи девятьсот шестьдесят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D543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97578" w:rsidRDefault="00C97578" w:rsidP="00C97578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2.Настоящее постановление опубликовать в районной газете «Заря».</w:t>
      </w:r>
    </w:p>
    <w:p w:rsidR="00C97578" w:rsidRDefault="00C97578" w:rsidP="00C97578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главы администрации МО «Шовгеновский район», председателя жилищной комиссии М.С.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Непшекуева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97578" w:rsidRDefault="00C97578" w:rsidP="00C97578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4.Настоящее постановление вступает в силу с момента его опубликования.</w:t>
      </w:r>
    </w:p>
    <w:p w:rsidR="00C97578" w:rsidRDefault="00C97578" w:rsidP="00C975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7578" w:rsidRDefault="00C97578" w:rsidP="00C975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7578" w:rsidRDefault="00C97578" w:rsidP="00C975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7578" w:rsidRDefault="00C97578" w:rsidP="00C975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C97578" w:rsidRDefault="00C97578" w:rsidP="00C975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 «Шовгеновский район»                                                          А.Д.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Меретуков</w:t>
      </w:r>
      <w:proofErr w:type="spellEnd"/>
    </w:p>
    <w:p w:rsidR="00C97578" w:rsidRDefault="00C97578" w:rsidP="00C975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7578" w:rsidRDefault="00C97578" w:rsidP="00C975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470F0" w:rsidRDefault="00A470F0"/>
    <w:sectPr w:rsidR="00A470F0" w:rsidSect="00C975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578"/>
    <w:rsid w:val="00225116"/>
    <w:rsid w:val="006C1D8C"/>
    <w:rsid w:val="008162E9"/>
    <w:rsid w:val="00A23DF7"/>
    <w:rsid w:val="00A470F0"/>
    <w:rsid w:val="00C97578"/>
    <w:rsid w:val="00D5431C"/>
    <w:rsid w:val="00F2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5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5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Арданова</dc:creator>
  <cp:lastModifiedBy>UstovaOksana</cp:lastModifiedBy>
  <cp:revision>3</cp:revision>
  <cp:lastPrinted>2015-01-30T13:01:00Z</cp:lastPrinted>
  <dcterms:created xsi:type="dcterms:W3CDTF">2015-05-19T06:52:00Z</dcterms:created>
  <dcterms:modified xsi:type="dcterms:W3CDTF">2015-05-19T12:07:00Z</dcterms:modified>
</cp:coreProperties>
</file>