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20" w:rsidRDefault="00455E20" w:rsidP="00455E20">
      <w:pPr>
        <w:ind w:firstLine="539"/>
        <w:jc w:val="center"/>
        <w:rPr>
          <w:b/>
          <w:color w:val="auto"/>
        </w:rPr>
      </w:pPr>
      <w:r w:rsidRPr="00455E20">
        <w:rPr>
          <w:b/>
          <w:color w:val="auto"/>
        </w:rPr>
        <w:t>Памятка при покупке продуктов питания</w:t>
      </w:r>
    </w:p>
    <w:p w:rsidR="00455E20" w:rsidRPr="00455E20" w:rsidRDefault="00455E20" w:rsidP="00455E20">
      <w:pPr>
        <w:ind w:firstLine="539"/>
        <w:jc w:val="center"/>
        <w:rPr>
          <w:b/>
          <w:color w:val="auto"/>
        </w:rPr>
      </w:pPr>
      <w:bookmarkStart w:id="0" w:name="_GoBack"/>
      <w:bookmarkEnd w:id="0"/>
    </w:p>
    <w:p w:rsidR="007C47A6" w:rsidRPr="006B4B26" w:rsidRDefault="007C47A6" w:rsidP="006B4B26">
      <w:pPr>
        <w:ind w:firstLine="539"/>
        <w:jc w:val="both"/>
        <w:rPr>
          <w:color w:val="auto"/>
        </w:rPr>
      </w:pPr>
      <w:r w:rsidRPr="006B4B26">
        <w:rPr>
          <w:color w:val="auto"/>
        </w:rPr>
        <w:t xml:space="preserve">Крупные покупки совершаются не каждым и не каждый день, чего не скажешь о приобретении продуктов питания. Поэтому тему однозначно можно назвать актуальной для всех. </w:t>
      </w:r>
    </w:p>
    <w:p w:rsidR="007C47A6" w:rsidRPr="006B4B26" w:rsidRDefault="007C47A6" w:rsidP="006B4B26">
      <w:pPr>
        <w:ind w:firstLine="539"/>
        <w:jc w:val="both"/>
        <w:rPr>
          <w:color w:val="auto"/>
        </w:rPr>
      </w:pPr>
      <w:proofErr w:type="gramStart"/>
      <w:r w:rsidRPr="006B4B26">
        <w:rPr>
          <w:color w:val="auto"/>
        </w:rPr>
        <w:t>Согласно статье 2 Федерального закона от 28.12.2009 г. № 381-ФЗ «Об основах государственного регулирования торговой деятельности в  Российской Федерации» к продовольственным товарам относятся продукты в натуральном или переработанном виде, находящиеся в обороте и употребляемые человеком в пищу (в том числе продукты детского питания, продукты диетического питания), бутилированная питьевая вода, алкогольная продукция, пиво и напитки, изготавливаемые на его основе, безалкогольные напитки, жевательная</w:t>
      </w:r>
      <w:proofErr w:type="gramEnd"/>
      <w:r w:rsidRPr="006B4B26">
        <w:rPr>
          <w:color w:val="auto"/>
        </w:rPr>
        <w:t xml:space="preserve"> резинка, пищевые добавки и биологически активные добавки.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b/>
          <w:sz w:val="28"/>
          <w:szCs w:val="28"/>
        </w:rPr>
        <w:t>Правовое регулирование отношений в области обеспечения качества и безопасности пищевых продуктов и их безопасности для здоровья человека</w:t>
      </w:r>
      <w:r w:rsidRPr="006B4B26">
        <w:rPr>
          <w:sz w:val="28"/>
          <w:szCs w:val="28"/>
        </w:rPr>
        <w:t xml:space="preserve"> осуществляется Федеральным законом от 2 января 2000 года № 29-ФЗ «О качестве и безопасности пищевых продуктов» (далее - Федеральный закон № 29-ФЗ).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sz w:val="28"/>
          <w:szCs w:val="28"/>
        </w:rPr>
        <w:t xml:space="preserve">В соответствии с п. 2 статьи 3 Федерального закона № 29-ФЗ не могут находиться в обороте пищевые продукты, материалы и изделия которые: 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sz w:val="28"/>
          <w:szCs w:val="28"/>
        </w:rPr>
        <w:t xml:space="preserve">- не соответствуют требованиям нормативных документов; 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6B4B26">
        <w:rPr>
          <w:sz w:val="28"/>
          <w:szCs w:val="28"/>
        </w:rPr>
        <w:t xml:space="preserve">- имеют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при проверке таких продуктов, материалов и изделий; </w:t>
      </w:r>
      <w:proofErr w:type="gramEnd"/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sz w:val="28"/>
          <w:szCs w:val="28"/>
        </w:rPr>
        <w:t xml:space="preserve">- не соответствуют представленной информации и в отношении </w:t>
      </w:r>
      <w:proofErr w:type="gramStart"/>
      <w:r w:rsidRPr="006B4B26">
        <w:rPr>
          <w:sz w:val="28"/>
          <w:szCs w:val="28"/>
        </w:rPr>
        <w:t>которых</w:t>
      </w:r>
      <w:proofErr w:type="gramEnd"/>
      <w:r w:rsidRPr="006B4B26">
        <w:rPr>
          <w:sz w:val="28"/>
          <w:szCs w:val="28"/>
        </w:rPr>
        <w:t xml:space="preserve"> имеются обоснованные подозрения об их фальсификации; 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sz w:val="28"/>
          <w:szCs w:val="28"/>
        </w:rPr>
        <w:t xml:space="preserve">- 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</w:t>
      </w:r>
      <w:proofErr w:type="gramStart"/>
      <w:r w:rsidRPr="006B4B26">
        <w:rPr>
          <w:sz w:val="28"/>
          <w:szCs w:val="28"/>
        </w:rPr>
        <w:t>сроки</w:t>
      </w:r>
      <w:proofErr w:type="gramEnd"/>
      <w:r w:rsidRPr="006B4B26">
        <w:rPr>
          <w:sz w:val="28"/>
          <w:szCs w:val="28"/>
        </w:rPr>
        <w:t xml:space="preserve"> годности которых истекли; 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sz w:val="28"/>
          <w:szCs w:val="28"/>
        </w:rPr>
        <w:t xml:space="preserve">- не имеют маркировки, содержащей сведения, предусмотренные законом или нормативными документами, либо в отношении которых не имеется такой информации. 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 w:rsidRPr="006B4B26">
        <w:rPr>
          <w:sz w:val="28"/>
          <w:szCs w:val="28"/>
        </w:rPr>
        <w:t xml:space="preserve">Такие пищевые продукты, материалы и изделия признаются </w:t>
      </w:r>
      <w:r w:rsidRPr="006B4B26">
        <w:rPr>
          <w:b/>
          <w:bCs/>
          <w:sz w:val="28"/>
          <w:szCs w:val="28"/>
        </w:rPr>
        <w:t>некачественными</w:t>
      </w:r>
      <w:r w:rsidRPr="006B4B26">
        <w:rPr>
          <w:sz w:val="28"/>
          <w:szCs w:val="28"/>
        </w:rPr>
        <w:t xml:space="preserve"> </w:t>
      </w:r>
      <w:r w:rsidRPr="006B4B26">
        <w:rPr>
          <w:b/>
          <w:sz w:val="28"/>
          <w:szCs w:val="28"/>
        </w:rPr>
        <w:t xml:space="preserve">и опасными и не подлежат реализации, утилизируются или уничтожаются. 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sz w:val="28"/>
          <w:szCs w:val="28"/>
        </w:rPr>
        <w:t>Документами, подтверждающими качество продукции, являются технические регламенты, государственные стандарты (ГОСТ), технические условия (ТУ), действующие в отношении данного вида товара.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sz w:val="28"/>
          <w:szCs w:val="28"/>
        </w:rPr>
        <w:t>В настоящее время на территории Российской Федерации в отношении пищевых продуктов действуют следующие технические регламенты: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sz w:val="28"/>
          <w:szCs w:val="28"/>
        </w:rPr>
        <w:t xml:space="preserve">- Технический Регламент Таможенного союза </w:t>
      </w:r>
      <w:proofErr w:type="gramStart"/>
      <w:r w:rsidRPr="006B4B26">
        <w:rPr>
          <w:sz w:val="28"/>
          <w:szCs w:val="28"/>
        </w:rPr>
        <w:t>ТР</w:t>
      </w:r>
      <w:proofErr w:type="gramEnd"/>
      <w:r w:rsidRPr="006B4B26">
        <w:rPr>
          <w:sz w:val="28"/>
          <w:szCs w:val="28"/>
        </w:rPr>
        <w:t xml:space="preserve"> ТС 021/2011 «О безопасности пищевой продукции», 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sz w:val="28"/>
          <w:szCs w:val="28"/>
        </w:rPr>
        <w:t xml:space="preserve">- Технический Регламент Таможенного союза </w:t>
      </w:r>
      <w:proofErr w:type="gramStart"/>
      <w:r w:rsidRPr="006B4B26">
        <w:rPr>
          <w:sz w:val="28"/>
          <w:szCs w:val="28"/>
        </w:rPr>
        <w:t>ТР</w:t>
      </w:r>
      <w:proofErr w:type="gramEnd"/>
      <w:r w:rsidRPr="006B4B26">
        <w:rPr>
          <w:sz w:val="28"/>
          <w:szCs w:val="28"/>
        </w:rPr>
        <w:t xml:space="preserve"> ТС 022/2011 «Пищевая продукция в части </w:t>
      </w:r>
      <w:proofErr w:type="spellStart"/>
      <w:r w:rsidRPr="006B4B26">
        <w:rPr>
          <w:sz w:val="28"/>
          <w:szCs w:val="28"/>
        </w:rPr>
        <w:t>ее</w:t>
      </w:r>
      <w:proofErr w:type="spellEnd"/>
      <w:r w:rsidRPr="006B4B26">
        <w:rPr>
          <w:sz w:val="28"/>
          <w:szCs w:val="28"/>
        </w:rPr>
        <w:t xml:space="preserve"> маркировки»,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lastRenderedPageBreak/>
        <w:t xml:space="preserve">- Технический регламент Таможенного союза </w:t>
      </w:r>
      <w:proofErr w:type="gramStart"/>
      <w:r w:rsidRPr="006B4B26">
        <w:rPr>
          <w:color w:val="auto"/>
        </w:rPr>
        <w:t>ТР</w:t>
      </w:r>
      <w:proofErr w:type="gramEnd"/>
      <w:r w:rsidRPr="006B4B26">
        <w:rPr>
          <w:color w:val="auto"/>
        </w:rPr>
        <w:t xml:space="preserve"> ТС 033/2013 «О безопасности молока и молочной продукции»,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rStyle w:val="a3"/>
          <w:color w:val="auto"/>
          <w:u w:val="none"/>
        </w:rPr>
      </w:pPr>
      <w:r w:rsidRPr="006B4B26">
        <w:rPr>
          <w:color w:val="auto"/>
        </w:rPr>
        <w:t xml:space="preserve">- Технический регламент Таможенного союза </w:t>
      </w:r>
      <w:proofErr w:type="gramStart"/>
      <w:r w:rsidRPr="006B4B26">
        <w:rPr>
          <w:color w:val="auto"/>
        </w:rPr>
        <w:t>ТР</w:t>
      </w:r>
      <w:proofErr w:type="gramEnd"/>
      <w:r w:rsidRPr="006B4B26">
        <w:rPr>
          <w:color w:val="auto"/>
        </w:rPr>
        <w:t xml:space="preserve"> ТС 034/2013 «</w:t>
      </w:r>
      <w:hyperlink r:id="rId6" w:tooltip="" w:history="1">
        <w:r w:rsidRPr="006B4B26">
          <w:rPr>
            <w:rStyle w:val="a3"/>
            <w:color w:val="auto"/>
            <w:u w:val="none"/>
          </w:rPr>
          <w:t>О безопасности мяса и мясной продукции»,</w:t>
        </w:r>
      </w:hyperlink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rStyle w:val="a3"/>
          <w:color w:val="auto"/>
          <w:sz w:val="28"/>
          <w:szCs w:val="28"/>
          <w:u w:val="none"/>
        </w:rPr>
      </w:pPr>
      <w:hyperlink r:id="rId7" w:tooltip="" w:history="1">
        <w:r w:rsidRPr="006B4B26">
          <w:rPr>
            <w:rStyle w:val="a3"/>
            <w:color w:val="auto"/>
            <w:sz w:val="28"/>
            <w:szCs w:val="28"/>
            <w:u w:val="none"/>
          </w:rPr>
          <w:t xml:space="preserve">- </w:t>
        </w:r>
        <w:hyperlink r:id="rId8" w:tgtFrame="_blank" w:history="1">
          <w:r w:rsidRPr="006B4B26">
            <w:rPr>
              <w:rStyle w:val="a3"/>
              <w:color w:val="auto"/>
              <w:sz w:val="28"/>
              <w:szCs w:val="28"/>
              <w:u w:val="none"/>
            </w:rPr>
            <w:t xml:space="preserve">Технический регламент Таможенного союза ТР ТС 023/2011 «На соковую продукцию из фруктов и овощей» </w:t>
          </w:r>
        </w:hyperlink>
        <w:r w:rsidRPr="006B4B26">
          <w:rPr>
            <w:rStyle w:val="a3"/>
            <w:color w:val="auto"/>
            <w:sz w:val="28"/>
            <w:szCs w:val="28"/>
            <w:u w:val="none"/>
          </w:rPr>
          <w:t>,</w:t>
        </w:r>
      </w:hyperlink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rStyle w:val="a3"/>
          <w:color w:val="auto"/>
          <w:sz w:val="28"/>
          <w:szCs w:val="28"/>
          <w:u w:val="none"/>
        </w:rPr>
      </w:pPr>
      <w:hyperlink r:id="rId9" w:tooltip="" w:history="1">
        <w:r w:rsidRPr="006B4B26">
          <w:rPr>
            <w:rStyle w:val="a3"/>
            <w:color w:val="auto"/>
            <w:sz w:val="28"/>
            <w:szCs w:val="28"/>
            <w:u w:val="none"/>
          </w:rPr>
          <w:t xml:space="preserve">- </w:t>
        </w:r>
        <w:hyperlink r:id="rId10" w:tgtFrame="_blank" w:history="1">
          <w:r w:rsidRPr="006B4B26">
            <w:rPr>
              <w:rStyle w:val="a3"/>
              <w:color w:val="auto"/>
              <w:sz w:val="28"/>
              <w:szCs w:val="28"/>
              <w:u w:val="none"/>
            </w:rPr>
            <w:t xml:space="preserve">Технический регламент Таможенного союза ТР ТС 024/2011 «На масложировую продукцию»,  </w:t>
          </w:r>
        </w:hyperlink>
      </w:hyperlink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rStyle w:val="a3"/>
          <w:color w:val="auto"/>
          <w:sz w:val="28"/>
          <w:szCs w:val="28"/>
          <w:u w:val="none"/>
        </w:rPr>
      </w:pPr>
      <w:hyperlink r:id="rId11" w:tooltip="" w:history="1">
        <w:r w:rsidRPr="006B4B26">
          <w:rPr>
            <w:rStyle w:val="a3"/>
            <w:color w:val="auto"/>
            <w:sz w:val="28"/>
            <w:szCs w:val="28"/>
            <w:u w:val="none"/>
          </w:rPr>
          <w:t xml:space="preserve">- Технический регламент Таможенного союза </w:t>
        </w:r>
        <w:proofErr w:type="gramStart"/>
        <w:r w:rsidRPr="006B4B26">
          <w:rPr>
            <w:rStyle w:val="a3"/>
            <w:color w:val="auto"/>
            <w:sz w:val="28"/>
            <w:szCs w:val="28"/>
            <w:u w:val="none"/>
          </w:rPr>
          <w:t>ТР</w:t>
        </w:r>
        <w:proofErr w:type="gramEnd"/>
        <w:r w:rsidRPr="006B4B26">
          <w:rPr>
            <w:rStyle w:val="a3"/>
            <w:color w:val="auto"/>
            <w:sz w:val="28"/>
            <w:szCs w:val="28"/>
            <w:u w:val="none"/>
          </w:rPr>
          <w:t xml:space="preserve"> ТС 027/2012 </w:t>
        </w:r>
        <w:hyperlink r:id="rId12" w:tgtFrame="_blank" w:history="1">
          <w:r w:rsidRPr="006B4B26">
            <w:rPr>
              <w:rStyle w:val="a3"/>
              <w:color w:val="auto"/>
              <w:sz w:val="28"/>
              <w:szCs w:val="28"/>
              <w:u w:val="none"/>
            </w:rPr>
            <w:t xml:space="preserve">«О безопасности отдельных видов специализированной пищевой продукции, в том числе диетического лечебного и диетического профилактического питания» </w:t>
          </w:r>
        </w:hyperlink>
        <w:r w:rsidRPr="006B4B26">
          <w:rPr>
            <w:rStyle w:val="a3"/>
            <w:color w:val="auto"/>
            <w:sz w:val="28"/>
            <w:szCs w:val="28"/>
            <w:u w:val="none"/>
          </w:rPr>
          <w:t>,</w:t>
        </w:r>
      </w:hyperlink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rStyle w:val="a3"/>
          <w:color w:val="auto"/>
          <w:sz w:val="28"/>
          <w:szCs w:val="28"/>
          <w:u w:val="none"/>
        </w:rPr>
      </w:pPr>
      <w:hyperlink r:id="rId13" w:tooltip="" w:history="1">
        <w:r w:rsidRPr="006B4B26">
          <w:rPr>
            <w:rStyle w:val="a3"/>
            <w:color w:val="auto"/>
            <w:sz w:val="28"/>
            <w:szCs w:val="28"/>
            <w:u w:val="none"/>
          </w:rPr>
          <w:t xml:space="preserve">- Технический регламент Таможенного союза </w:t>
        </w:r>
        <w:proofErr w:type="gramStart"/>
        <w:r w:rsidRPr="006B4B26">
          <w:rPr>
            <w:rStyle w:val="a3"/>
            <w:color w:val="auto"/>
            <w:sz w:val="28"/>
            <w:szCs w:val="28"/>
            <w:u w:val="none"/>
          </w:rPr>
          <w:t>ТР</w:t>
        </w:r>
        <w:proofErr w:type="gramEnd"/>
        <w:r w:rsidRPr="006B4B26">
          <w:rPr>
            <w:rStyle w:val="a3"/>
            <w:color w:val="auto"/>
            <w:sz w:val="28"/>
            <w:szCs w:val="28"/>
            <w:u w:val="none"/>
          </w:rPr>
          <w:t xml:space="preserve"> ТС 029/2012 </w:t>
        </w:r>
        <w:hyperlink r:id="rId14" w:tgtFrame="_blank" w:history="1">
          <w:r w:rsidRPr="006B4B26">
            <w:rPr>
              <w:rStyle w:val="a3"/>
              <w:color w:val="auto"/>
              <w:sz w:val="28"/>
              <w:szCs w:val="28"/>
              <w:u w:val="none"/>
            </w:rPr>
            <w:t xml:space="preserve">«Требования безопасности пищевых добавок, ароматизаторов и технологических вспомогательных средств», </w:t>
          </w:r>
        </w:hyperlink>
      </w:hyperlink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sz w:val="28"/>
          <w:szCs w:val="28"/>
        </w:rPr>
        <w:t xml:space="preserve">Согласно статье 39 Технического Регламента Таможенного союза </w:t>
      </w:r>
      <w:proofErr w:type="gramStart"/>
      <w:r w:rsidRPr="006B4B26">
        <w:rPr>
          <w:sz w:val="28"/>
          <w:szCs w:val="28"/>
        </w:rPr>
        <w:t>ТР</w:t>
      </w:r>
      <w:proofErr w:type="gramEnd"/>
      <w:r w:rsidRPr="006B4B26">
        <w:rPr>
          <w:sz w:val="28"/>
          <w:szCs w:val="28"/>
        </w:rPr>
        <w:t xml:space="preserve"> ТС 021/2011 «О безопасности пищевой продукции» пищевая продукция, прошедшая оценку (подтверждение) соответствия, должна маркироваться единым знаком обращения продукции на рынке государств - членов Таможенного союза. </w:t>
      </w:r>
      <w:proofErr w:type="gramStart"/>
      <w:r w:rsidRPr="006B4B26">
        <w:rPr>
          <w:sz w:val="28"/>
          <w:szCs w:val="28"/>
        </w:rPr>
        <w:t xml:space="preserve">Изображение единого знака обращения продукции EAC представляет собой сочетание </w:t>
      </w:r>
      <w:proofErr w:type="spellStart"/>
      <w:r w:rsidRPr="006B4B26">
        <w:rPr>
          <w:sz w:val="28"/>
          <w:szCs w:val="28"/>
        </w:rPr>
        <w:t>трех</w:t>
      </w:r>
      <w:proofErr w:type="spellEnd"/>
      <w:r w:rsidRPr="006B4B26">
        <w:rPr>
          <w:sz w:val="28"/>
          <w:szCs w:val="28"/>
        </w:rPr>
        <w:t xml:space="preserve"> стилизованных букв "E", "A" и "C", графически исполненных с применением прямых углов, имеет одинаковые высоту и ширину, составляет точные пропорции квадрата на светлом (рис. 1) или на контрастном фоне (рис. 2) и расшифровывается как Евразийское соответствие (</w:t>
      </w:r>
      <w:proofErr w:type="spellStart"/>
      <w:r w:rsidRPr="006B4B26">
        <w:rPr>
          <w:sz w:val="28"/>
          <w:szCs w:val="28"/>
        </w:rPr>
        <w:t>Eurasian</w:t>
      </w:r>
      <w:proofErr w:type="spellEnd"/>
      <w:r w:rsidRPr="006B4B26">
        <w:rPr>
          <w:sz w:val="28"/>
          <w:szCs w:val="28"/>
        </w:rPr>
        <w:t xml:space="preserve"> </w:t>
      </w:r>
      <w:proofErr w:type="spellStart"/>
      <w:r w:rsidRPr="006B4B26">
        <w:rPr>
          <w:sz w:val="28"/>
          <w:szCs w:val="28"/>
        </w:rPr>
        <w:t>Conformity</w:t>
      </w:r>
      <w:proofErr w:type="spellEnd"/>
      <w:r w:rsidRPr="006B4B26">
        <w:rPr>
          <w:sz w:val="28"/>
          <w:szCs w:val="28"/>
        </w:rPr>
        <w:t>).</w:t>
      </w:r>
      <w:proofErr w:type="gramEnd"/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F06497" wp14:editId="744FEC5D">
            <wp:simplePos x="0" y="0"/>
            <wp:positionH relativeFrom="column">
              <wp:posOffset>-58420</wp:posOffset>
            </wp:positionH>
            <wp:positionV relativeFrom="paragraph">
              <wp:posOffset>5715</wp:posOffset>
            </wp:positionV>
            <wp:extent cx="2324100" cy="723900"/>
            <wp:effectExtent l="0" t="0" r="0" b="0"/>
            <wp:wrapSquare wrapText="bothSides"/>
            <wp:docPr id="1" name="Рисунок 1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C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B26">
        <w:rPr>
          <w:sz w:val="28"/>
          <w:szCs w:val="28"/>
        </w:rPr>
        <w:t xml:space="preserve">Маркировка единым знаком обращения продукции на рынке государств - членов Таможенного союза неупакованной пищевой продукции наносится на товаросопроводительные документы, если иное не установлено техническими регламентами Таможенного союза на отдельные виды пищевой продукции. </w:t>
      </w:r>
    </w:p>
    <w:p w:rsidR="007C47A6" w:rsidRPr="006B4B26" w:rsidRDefault="007C47A6" w:rsidP="006B4B26">
      <w:pPr>
        <w:ind w:firstLine="539"/>
        <w:jc w:val="both"/>
        <w:rPr>
          <w:color w:val="auto"/>
        </w:rPr>
      </w:pPr>
      <w:r w:rsidRPr="006B4B26">
        <w:rPr>
          <w:b/>
        </w:rPr>
        <w:t xml:space="preserve"> </w:t>
      </w:r>
      <w:proofErr w:type="gramStart"/>
      <w:r w:rsidRPr="006B4B26">
        <w:rPr>
          <w:b/>
          <w:color w:val="auto"/>
        </w:rPr>
        <w:t>Основным нормативным правовым актом, регулирующим деятельность по реализации пищевых продуктов</w:t>
      </w:r>
      <w:r w:rsidRPr="006B4B26">
        <w:rPr>
          <w:color w:val="auto"/>
        </w:rPr>
        <w:t xml:space="preserve">, являются Правила продажи отдельных видов товаров, </w:t>
      </w:r>
      <w:proofErr w:type="spellStart"/>
      <w:r w:rsidRPr="006B4B26">
        <w:rPr>
          <w:color w:val="auto"/>
        </w:rPr>
        <w:t>утвержденные</w:t>
      </w:r>
      <w:proofErr w:type="spellEnd"/>
      <w:r w:rsidRPr="006B4B26">
        <w:rPr>
          <w:color w:val="auto"/>
        </w:rPr>
        <w:t xml:space="preserve"> Постановлением Правительства Российской Федерации от 19 января 1998 года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</w:t>
      </w:r>
      <w:proofErr w:type="gramEnd"/>
      <w:r w:rsidRPr="006B4B26">
        <w:rPr>
          <w:color w:val="auto"/>
        </w:rPr>
        <w:t xml:space="preserve"> качества, не подлежащих возврату или обмену на аналогичный товар других размера, формы, габарита, фасона, расцветки или комплектации» (далее - Правила).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 xml:space="preserve">В соответствии с п. 11 Правил продавец обязан своевременно в наглядной и доступной форме довести до сведения покупателя необходимую и достоверную информацию о пищевой продукции и их изготовителях, обеспечивающую возможность правильного выбора товаров. 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 xml:space="preserve">Информация </w:t>
      </w:r>
      <w:r w:rsidRPr="006B4B26">
        <w:rPr>
          <w:b/>
          <w:color w:val="auto"/>
        </w:rPr>
        <w:t>в обязательном порядке должна содержать</w:t>
      </w:r>
      <w:r w:rsidRPr="006B4B26">
        <w:rPr>
          <w:color w:val="auto"/>
        </w:rPr>
        <w:t>: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lastRenderedPageBreak/>
        <w:t>- наименование пищевых продуктов;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proofErr w:type="gramStart"/>
      <w:r w:rsidRPr="006B4B26">
        <w:rPr>
          <w:color w:val="auto"/>
        </w:rPr>
        <w:t xml:space="preserve"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покупателей. </w:t>
      </w:r>
      <w:proofErr w:type="gramEnd"/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>- наименование страны происхождения пищевых продуктов;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 xml:space="preserve">- сведения об обязательном подтверждении соответствия пищевых продуктов в порядке, </w:t>
      </w:r>
      <w:proofErr w:type="spellStart"/>
      <w:r w:rsidRPr="006B4B26">
        <w:rPr>
          <w:color w:val="auto"/>
        </w:rPr>
        <w:t>определенном</w:t>
      </w:r>
      <w:proofErr w:type="spellEnd"/>
      <w:r w:rsidRPr="006B4B26">
        <w:rPr>
          <w:color w:val="auto"/>
        </w:rPr>
        <w:t xml:space="preserve"> законодательством Российской Федерации о техническом регулировании;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>- сведения об основных потребительских свойствах пищевых продуктов;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>- цену в рублях и условия приобретения пищевых продуктов.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>- наименование входящих в состав пищевых продуктов ингредиентов, включая пищевые добавки;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proofErr w:type="gramStart"/>
      <w:r w:rsidRPr="006B4B26">
        <w:rPr>
          <w:color w:val="auto"/>
        </w:rPr>
        <w:t xml:space="preserve">- сведения о пищевой ценности (калорийность продукта, содержание белков, жиров, углеводов, витаминов, макро- и микроэлементов), весе или </w:t>
      </w:r>
      <w:proofErr w:type="spellStart"/>
      <w:r w:rsidRPr="006B4B26">
        <w:rPr>
          <w:color w:val="auto"/>
        </w:rPr>
        <w:t>объеме</w:t>
      </w:r>
      <w:proofErr w:type="spellEnd"/>
      <w:r w:rsidRPr="006B4B26">
        <w:rPr>
          <w:color w:val="auto"/>
        </w:rPr>
        <w:t>;</w:t>
      </w:r>
      <w:proofErr w:type="gramEnd"/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>- назначение, условия и область применения (для продуктов детского, диетического питания и биологически активных добавок);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>- способы и условия приготовления (для концентратов и полуфабрикатов) и применения (для продуктов детского и диетического питания);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>- условия хранения (для товаров, для которых установлены обязательные требования к условиям хранения);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>- дату изготовления и дату упаковки товара.</w:t>
      </w:r>
    </w:p>
    <w:p w:rsidR="007C47A6" w:rsidRPr="006B4B26" w:rsidRDefault="007C47A6" w:rsidP="006B4B26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 w:rsidRPr="006B4B26">
        <w:rPr>
          <w:color w:val="auto"/>
        </w:rPr>
        <w:t xml:space="preserve">Продавец обязан </w:t>
      </w:r>
      <w:r w:rsidRPr="006B4B26">
        <w:rPr>
          <w:b/>
          <w:color w:val="auto"/>
        </w:rPr>
        <w:t>по требованию потребителя</w:t>
      </w:r>
      <w:r w:rsidRPr="006B4B26">
        <w:rPr>
          <w:color w:val="auto"/>
        </w:rPr>
        <w:t xml:space="preserve"> ознакомить его с товарно-сопроводительной документацией на пищевую продукцию,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</w:t>
      </w:r>
      <w:proofErr w:type="gramStart"/>
      <w:r w:rsidRPr="006B4B26">
        <w:rPr>
          <w:color w:val="auto"/>
        </w:rPr>
        <w:t>декларации</w:t>
      </w:r>
      <w:proofErr w:type="gramEnd"/>
      <w:r w:rsidRPr="006B4B26">
        <w:rPr>
          <w:color w:val="auto"/>
        </w:rPr>
        <w:t xml:space="preserve"> о соответствии, в том числе </w:t>
      </w:r>
      <w:proofErr w:type="spellStart"/>
      <w:r w:rsidRPr="006B4B26">
        <w:rPr>
          <w:color w:val="auto"/>
        </w:rPr>
        <w:t>ее</w:t>
      </w:r>
      <w:proofErr w:type="spellEnd"/>
      <w:r w:rsidRPr="006B4B26">
        <w:rPr>
          <w:color w:val="auto"/>
        </w:rPr>
        <w:t xml:space="preserve"> регистрационный номер, срок </w:t>
      </w:r>
      <w:proofErr w:type="spellStart"/>
      <w:r w:rsidRPr="006B4B26">
        <w:rPr>
          <w:color w:val="auto"/>
        </w:rPr>
        <w:t>ее</w:t>
      </w:r>
      <w:proofErr w:type="spellEnd"/>
      <w:r w:rsidRPr="006B4B26">
        <w:rPr>
          <w:color w:val="auto"/>
        </w:rPr>
        <w:t xml:space="preserve"> действия, наименование лица, принявшего декларацию, и орган, </w:t>
      </w:r>
      <w:proofErr w:type="spellStart"/>
      <w:r w:rsidRPr="006B4B26">
        <w:rPr>
          <w:color w:val="auto"/>
        </w:rPr>
        <w:t>ее</w:t>
      </w:r>
      <w:proofErr w:type="spellEnd"/>
      <w:r w:rsidRPr="006B4B26">
        <w:rPr>
          <w:color w:val="auto"/>
        </w:rPr>
        <w:t xml:space="preserve"> зарегистрировавший). Эти документы должны быть заверены подписью и печатью поставщика или продавца (при наличии печати) с указанием его места нахождения (адреса) и телефона.</w:t>
      </w: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7C47A6" w:rsidRPr="006B4B26" w:rsidRDefault="007C47A6" w:rsidP="006B4B26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B4B26">
        <w:rPr>
          <w:sz w:val="28"/>
          <w:szCs w:val="28"/>
        </w:rPr>
        <w:t xml:space="preserve">Покупка некачественного или фальсифицированного товара – это всегда неприятно. Покупка таких продуктов питания – неприятность, связанная </w:t>
      </w:r>
      <w:proofErr w:type="spellStart"/>
      <w:r w:rsidRPr="006B4B26">
        <w:rPr>
          <w:sz w:val="28"/>
          <w:szCs w:val="28"/>
        </w:rPr>
        <w:t>еще</w:t>
      </w:r>
      <w:proofErr w:type="spellEnd"/>
      <w:r w:rsidRPr="006B4B26">
        <w:rPr>
          <w:sz w:val="28"/>
          <w:szCs w:val="28"/>
        </w:rPr>
        <w:t xml:space="preserve"> и с риском для здоровья. Уже по этой причине стоит внимательно отнестись к предложенной информации. </w:t>
      </w:r>
    </w:p>
    <w:p w:rsidR="00AB28F1" w:rsidRPr="006B4B26" w:rsidRDefault="00AB28F1" w:rsidP="006B4B26">
      <w:pPr>
        <w:ind w:firstLine="539"/>
        <w:jc w:val="both"/>
      </w:pPr>
    </w:p>
    <w:sectPr w:rsidR="00AB28F1" w:rsidRPr="006B4B26" w:rsidSect="006B4B2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A6"/>
    <w:rsid w:val="00455E20"/>
    <w:rsid w:val="006B4B26"/>
    <w:rsid w:val="007C47A6"/>
    <w:rsid w:val="00A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A6"/>
    <w:pPr>
      <w:spacing w:after="0" w:line="240" w:lineRule="auto"/>
    </w:pPr>
    <w:rPr>
      <w:rFonts w:ascii="Times New Roman" w:eastAsia="Times New Roman" w:hAnsi="Times New Roman" w:cs="Times New Roman"/>
      <w:color w:val="5A5A5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47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C47A6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A6"/>
    <w:pPr>
      <w:spacing w:after="0" w:line="240" w:lineRule="auto"/>
    </w:pPr>
    <w:rPr>
      <w:rFonts w:ascii="Times New Roman" w:eastAsia="Times New Roman" w:hAnsi="Times New Roman" w:cs="Times New Roman"/>
      <w:color w:val="5A5A5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47A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C47A6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est.su/wp-content/uploads/tehregl/17.pdf" TargetMode="External"/><Relationship Id="rId13" Type="http://schemas.openxmlformats.org/officeDocument/2006/relationships/hyperlink" Target="http://docs.cntd.ru/document/49905056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50564" TargetMode="External"/><Relationship Id="rId12" Type="http://schemas.openxmlformats.org/officeDocument/2006/relationships/hyperlink" Target="http://rostest.su/wp-content/uploads/tehregl/1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mossanexpert.ru.opt-images.1c-bitrix-cdn.ru/upload/medialibrary/36c/eac2.gif?144043441123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50564" TargetMode="External"/><Relationship Id="rId11" Type="http://schemas.openxmlformats.org/officeDocument/2006/relationships/hyperlink" Target="http://docs.cntd.ru/document/49905056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gif"/><Relationship Id="rId10" Type="http://schemas.openxmlformats.org/officeDocument/2006/relationships/hyperlink" Target="http://rostest.su/wp-content/uploads/tehregl/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50564" TargetMode="External"/><Relationship Id="rId14" Type="http://schemas.openxmlformats.org/officeDocument/2006/relationships/hyperlink" Target="http://rostest.su/wp-content/uploads/tehregl/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F4C5-A9F2-42C7-BE19-4A5D3B88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2018-10-16T14:35:00Z</dcterms:created>
  <dcterms:modified xsi:type="dcterms:W3CDTF">2018-10-17T07:36:00Z</dcterms:modified>
</cp:coreProperties>
</file>