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9978F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/1</w:t>
      </w:r>
      <w:r w:rsidR="00083E70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9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871DB2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>Отдел</w:t>
            </w:r>
            <w:r w:rsidR="007F35FC"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  экономического развития </w:t>
            </w:r>
            <w:r w:rsidR="007F35FC"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</w:t>
      </w:r>
      <w:r w:rsidR="00083E7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9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является </w:t>
      </w:r>
      <w:r w:rsidR="0087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</w:t>
      </w:r>
      <w:r w:rsidR="00871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r w:rsidR="00871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520A70" w:rsidRPr="00D64A8F" w:rsidRDefault="00520A70" w:rsidP="00520A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е) документ подтверждающий</w:t>
      </w:r>
      <w:r w:rsidRPr="00606F43">
        <w:rPr>
          <w:rFonts w:ascii="Times New Roman" w:hAnsi="Times New Roman" w:cs="Times New Roman"/>
          <w:sz w:val="24"/>
          <w:szCs w:val="24"/>
        </w:rPr>
        <w:t xml:space="preserve"> поступление</w:t>
      </w:r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</w:t>
      </w: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871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9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8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99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083E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8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администрации МО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 </w:t>
      </w:r>
      <w:r w:rsidR="00871DB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 2020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9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59"/>
      <w:bookmarkEnd w:id="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92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4"/>
      <w:bookmarkEnd w:id="1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5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4" w:name="sub_1067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4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2"/>
      <w:bookmarkEnd w:id="1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4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6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7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606F43" w:rsidRPr="00606F43" w:rsidRDefault="00606F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606F43">
        <w:rPr>
          <w:rFonts w:ascii="Times New Roman" w:hAnsi="Times New Roman" w:cs="Times New Roman"/>
          <w:sz w:val="24"/>
          <w:szCs w:val="24"/>
        </w:rPr>
        <w:t>не поступление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предоплаты</w:t>
      </w:r>
      <w:r w:rsidRPr="00606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06F43">
        <w:rPr>
          <w:rFonts w:ascii="Times New Roman" w:hAnsi="Times New Roman" w:cs="Times New Roman"/>
          <w:sz w:val="24"/>
          <w:szCs w:val="24"/>
        </w:rPr>
        <w:t>задатка</w:t>
      </w:r>
      <w:r>
        <w:rPr>
          <w:rFonts w:ascii="Times New Roman" w:hAnsi="Times New Roman" w:cs="Times New Roman"/>
          <w:sz w:val="24"/>
          <w:szCs w:val="24"/>
        </w:rPr>
        <w:t>) в бюджет администрации МО «Шовгеновский район»</w:t>
      </w:r>
      <w:r w:rsidRPr="00606F43">
        <w:rPr>
          <w:rFonts w:ascii="Times New Roman" w:hAnsi="Times New Roman" w:cs="Times New Roman"/>
          <w:sz w:val="24"/>
          <w:szCs w:val="24"/>
        </w:rPr>
        <w:t xml:space="preserve"> на дату рассмотрения заявок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606F4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6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0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</w:t>
      </w:r>
      <w:r w:rsidR="00384D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4014"/>
      <w:bookmarkEnd w:id="21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092CCD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="00D64A8F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092CCD" w:rsidRPr="00092CCD">
              <w:rPr>
                <w:rFonts w:ascii="Times New Roman" w:eastAsia="Times New Roman" w:hAnsi="Times New Roman" w:cs="Times New Roman"/>
                <w:lang w:eastAsia="ru-RU"/>
              </w:rPr>
              <w:t>Отдела</w:t>
            </w:r>
            <w:r w:rsidR="00092CCD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1F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9978F2" w:rsidP="00092CCD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9978F2" w:rsidP="00F40247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F4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bookmarkStart w:id="23" w:name="_GoBack"/>
            <w:bookmarkEnd w:id="23"/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092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092CCD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092CCD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092CCD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="001F1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Администрации МО «Шовгеновский район» по адресу: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9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857FDC" w:rsidRDefault="000F7185" w:rsidP="009978F2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092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9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9978F2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F921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9978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083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года в </w:t>
            </w:r>
            <w:r w:rsidR="00520A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 w:rsidR="00F92179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D64A8F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D15" w:rsidRDefault="009B0D15" w:rsidP="00721311">
      <w:pPr>
        <w:spacing w:after="0" w:line="240" w:lineRule="auto"/>
      </w:pPr>
      <w:r>
        <w:separator/>
      </w:r>
    </w:p>
  </w:endnote>
  <w:endnote w:type="continuationSeparator" w:id="0">
    <w:p w:rsidR="009B0D15" w:rsidRDefault="009B0D15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D15" w:rsidRDefault="009B0D15" w:rsidP="00721311">
      <w:pPr>
        <w:spacing w:after="0" w:line="240" w:lineRule="auto"/>
      </w:pPr>
      <w:r>
        <w:separator/>
      </w:r>
    </w:p>
  </w:footnote>
  <w:footnote w:type="continuationSeparator" w:id="0">
    <w:p w:rsidR="009B0D15" w:rsidRDefault="009B0D15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24AD8"/>
    <w:rsid w:val="00063294"/>
    <w:rsid w:val="00064A4E"/>
    <w:rsid w:val="00083CD4"/>
    <w:rsid w:val="00083E70"/>
    <w:rsid w:val="00092179"/>
    <w:rsid w:val="00092CCD"/>
    <w:rsid w:val="000959A7"/>
    <w:rsid w:val="000972F0"/>
    <w:rsid w:val="000E6559"/>
    <w:rsid w:val="000E76F8"/>
    <w:rsid w:val="000F35E1"/>
    <w:rsid w:val="000F7185"/>
    <w:rsid w:val="00111AB5"/>
    <w:rsid w:val="00111FB0"/>
    <w:rsid w:val="00112034"/>
    <w:rsid w:val="001156C8"/>
    <w:rsid w:val="00131BBE"/>
    <w:rsid w:val="00180AFF"/>
    <w:rsid w:val="00180B6F"/>
    <w:rsid w:val="00185062"/>
    <w:rsid w:val="00197A43"/>
    <w:rsid w:val="001B6FE8"/>
    <w:rsid w:val="001B7AB9"/>
    <w:rsid w:val="001C2FB0"/>
    <w:rsid w:val="001D5C79"/>
    <w:rsid w:val="001F140A"/>
    <w:rsid w:val="002021E7"/>
    <w:rsid w:val="0021314A"/>
    <w:rsid w:val="002620CE"/>
    <w:rsid w:val="0026401F"/>
    <w:rsid w:val="00264534"/>
    <w:rsid w:val="00271F5F"/>
    <w:rsid w:val="0028056E"/>
    <w:rsid w:val="002820FE"/>
    <w:rsid w:val="00293F94"/>
    <w:rsid w:val="00296C33"/>
    <w:rsid w:val="002A7B27"/>
    <w:rsid w:val="00303F11"/>
    <w:rsid w:val="00313CFE"/>
    <w:rsid w:val="003167A9"/>
    <w:rsid w:val="00333635"/>
    <w:rsid w:val="00333E20"/>
    <w:rsid w:val="00352C79"/>
    <w:rsid w:val="00362F4E"/>
    <w:rsid w:val="00384D32"/>
    <w:rsid w:val="00385EC9"/>
    <w:rsid w:val="00391797"/>
    <w:rsid w:val="003E30C7"/>
    <w:rsid w:val="003E3318"/>
    <w:rsid w:val="0040344B"/>
    <w:rsid w:val="00425A5B"/>
    <w:rsid w:val="00427C0B"/>
    <w:rsid w:val="00466479"/>
    <w:rsid w:val="0049116A"/>
    <w:rsid w:val="004C0A4A"/>
    <w:rsid w:val="004D2E66"/>
    <w:rsid w:val="004E1B40"/>
    <w:rsid w:val="004F581B"/>
    <w:rsid w:val="005079FB"/>
    <w:rsid w:val="00514597"/>
    <w:rsid w:val="00520A70"/>
    <w:rsid w:val="00527F56"/>
    <w:rsid w:val="00542334"/>
    <w:rsid w:val="00550A83"/>
    <w:rsid w:val="005724FD"/>
    <w:rsid w:val="005849D2"/>
    <w:rsid w:val="0059114D"/>
    <w:rsid w:val="00595602"/>
    <w:rsid w:val="005A22C6"/>
    <w:rsid w:val="005A3766"/>
    <w:rsid w:val="005D41E1"/>
    <w:rsid w:val="005D429D"/>
    <w:rsid w:val="00606F43"/>
    <w:rsid w:val="006152A9"/>
    <w:rsid w:val="0063331D"/>
    <w:rsid w:val="006561C0"/>
    <w:rsid w:val="006764D0"/>
    <w:rsid w:val="006958C8"/>
    <w:rsid w:val="00696BF3"/>
    <w:rsid w:val="006C09FF"/>
    <w:rsid w:val="006D1944"/>
    <w:rsid w:val="006F512C"/>
    <w:rsid w:val="007102F6"/>
    <w:rsid w:val="00716791"/>
    <w:rsid w:val="00717B10"/>
    <w:rsid w:val="00721311"/>
    <w:rsid w:val="00725BCB"/>
    <w:rsid w:val="00731313"/>
    <w:rsid w:val="00763030"/>
    <w:rsid w:val="00785D85"/>
    <w:rsid w:val="00787571"/>
    <w:rsid w:val="007C1FCE"/>
    <w:rsid w:val="007F35FC"/>
    <w:rsid w:val="007F7541"/>
    <w:rsid w:val="00811505"/>
    <w:rsid w:val="00812B29"/>
    <w:rsid w:val="00826ED6"/>
    <w:rsid w:val="008355A0"/>
    <w:rsid w:val="0084491E"/>
    <w:rsid w:val="00852254"/>
    <w:rsid w:val="00857FDC"/>
    <w:rsid w:val="008658D5"/>
    <w:rsid w:val="00871DB2"/>
    <w:rsid w:val="00873384"/>
    <w:rsid w:val="0088703E"/>
    <w:rsid w:val="00891572"/>
    <w:rsid w:val="008A29C5"/>
    <w:rsid w:val="008F1576"/>
    <w:rsid w:val="0090138C"/>
    <w:rsid w:val="00905A62"/>
    <w:rsid w:val="009265B8"/>
    <w:rsid w:val="00944A94"/>
    <w:rsid w:val="00950BCE"/>
    <w:rsid w:val="00960115"/>
    <w:rsid w:val="009978F2"/>
    <w:rsid w:val="009A12ED"/>
    <w:rsid w:val="009B0D15"/>
    <w:rsid w:val="00A33669"/>
    <w:rsid w:val="00A34903"/>
    <w:rsid w:val="00A34B64"/>
    <w:rsid w:val="00A739D6"/>
    <w:rsid w:val="00A86352"/>
    <w:rsid w:val="00AA17D9"/>
    <w:rsid w:val="00AB4413"/>
    <w:rsid w:val="00AC233A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3229"/>
    <w:rsid w:val="00CA285A"/>
    <w:rsid w:val="00CB6A30"/>
    <w:rsid w:val="00CD5662"/>
    <w:rsid w:val="00CD66C1"/>
    <w:rsid w:val="00CE38CF"/>
    <w:rsid w:val="00CE7E31"/>
    <w:rsid w:val="00D138FC"/>
    <w:rsid w:val="00D645A2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82FD8"/>
    <w:rsid w:val="00E917AE"/>
    <w:rsid w:val="00EB0D35"/>
    <w:rsid w:val="00EB4252"/>
    <w:rsid w:val="00EB7722"/>
    <w:rsid w:val="00EE6836"/>
    <w:rsid w:val="00EE7CF3"/>
    <w:rsid w:val="00F14F5F"/>
    <w:rsid w:val="00F40247"/>
    <w:rsid w:val="00F51EC6"/>
    <w:rsid w:val="00F5286B"/>
    <w:rsid w:val="00F6394B"/>
    <w:rsid w:val="00F92179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39B8-5FDF-43F3-904A-FD9B7B34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24</Pages>
  <Words>9029</Words>
  <Characters>51470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135</cp:revision>
  <cp:lastPrinted>2018-08-07T08:27:00Z</cp:lastPrinted>
  <dcterms:created xsi:type="dcterms:W3CDTF">2016-11-28T08:19:00Z</dcterms:created>
  <dcterms:modified xsi:type="dcterms:W3CDTF">2019-07-16T06:46:00Z</dcterms:modified>
</cp:coreProperties>
</file>