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384D3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8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8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606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8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C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607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32" w:rsidRDefault="00384D32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384D32" w:rsidRDefault="00D64A8F" w:rsidP="00384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2FB0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1C2FB0" w:rsidP="001C2FB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Электросвязи по ул. Краснооктябрьская 131 и зданием универмага по ул.  Краснооктябрьская, 137</w:t>
            </w:r>
            <w:r w:rsidR="001C2FB0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="001C2FB0"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77031" wp14:editId="3AC7C4F1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01F" w:rsidRPr="00F33FD9" w:rsidRDefault="0026401F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568.4pt;margin-top:166.7pt;width:3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/swIAADw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" fillcolor="#d9d9d9" strokecolor="windowText" strokeweight="2pt">
                      <v:textbox>
                        <w:txbxContent>
                          <w:p w:rsidR="0026401F" w:rsidRPr="00F33FD9" w:rsidRDefault="0026401F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137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47E31" wp14:editId="63EA0487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401F" w:rsidRPr="00F33FD9" w:rsidRDefault="0026401F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568.4pt;margin-top:166.7pt;width:3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N+sgIAAEE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" fillcolor="#d9d9d9" strokecolor="windowText" strokeweight="2pt">
                      <v:textbox>
                        <w:txbxContent>
                          <w:p w:rsidR="0026401F" w:rsidRPr="00F33FD9" w:rsidRDefault="0026401F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384D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4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1797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№4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C607C2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6F51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Электронные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6F512C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r w:rsidR="00B426D4"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по ул. Краснооктябрьская, между номером 36 и 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Тургенева,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</w:p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Гагарина,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Михайлов ул. 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Нестационарный торговый объект, </w:t>
            </w:r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C607C2" w:rsidRDefault="00C607C2" w:rsidP="00C6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40" w:rsidRPr="00C607C2" w:rsidRDefault="004E1B40" w:rsidP="00C607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7C2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Дорошенко, ул. Прямая,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Управлением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Протокол вскрытия конвертов с заявками на участие в Конкурсе ведется Конкурсной комиссией и подписывается всеми присутствующими членами комиссии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6152A9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46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615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112034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март 201</w:t>
            </w:r>
            <w:r w:rsidR="0011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Управления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6152A9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1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1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6152A9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61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615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23" w:name="_GoBack"/>
            <w:bookmarkEnd w:id="23"/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A0" w:rsidRDefault="008355A0" w:rsidP="00721311">
      <w:pPr>
        <w:spacing w:after="0" w:line="240" w:lineRule="auto"/>
      </w:pPr>
      <w:r>
        <w:separator/>
      </w:r>
    </w:p>
  </w:endnote>
  <w:endnote w:type="continuationSeparator" w:id="0">
    <w:p w:rsidR="008355A0" w:rsidRDefault="008355A0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A0" w:rsidRDefault="008355A0" w:rsidP="00721311">
      <w:pPr>
        <w:spacing w:after="0" w:line="240" w:lineRule="auto"/>
      </w:pPr>
      <w:r>
        <w:separator/>
      </w:r>
    </w:p>
  </w:footnote>
  <w:footnote w:type="continuationSeparator" w:id="0">
    <w:p w:rsidR="008355A0" w:rsidRDefault="008355A0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92179"/>
    <w:rsid w:val="000959A7"/>
    <w:rsid w:val="000972F0"/>
    <w:rsid w:val="000E6559"/>
    <w:rsid w:val="000E76F8"/>
    <w:rsid w:val="000F7185"/>
    <w:rsid w:val="00111AB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03F11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E30C7"/>
    <w:rsid w:val="003E3318"/>
    <w:rsid w:val="0040344B"/>
    <w:rsid w:val="00425A5B"/>
    <w:rsid w:val="00427C0B"/>
    <w:rsid w:val="00466479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9114D"/>
    <w:rsid w:val="00595602"/>
    <w:rsid w:val="005A22C6"/>
    <w:rsid w:val="005A3766"/>
    <w:rsid w:val="00606F43"/>
    <w:rsid w:val="006152A9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87571"/>
    <w:rsid w:val="007C1FCE"/>
    <w:rsid w:val="007F35FC"/>
    <w:rsid w:val="007F7541"/>
    <w:rsid w:val="00811505"/>
    <w:rsid w:val="00812B29"/>
    <w:rsid w:val="00826ED6"/>
    <w:rsid w:val="008355A0"/>
    <w:rsid w:val="0084491E"/>
    <w:rsid w:val="00852254"/>
    <w:rsid w:val="00857FDC"/>
    <w:rsid w:val="008658D5"/>
    <w:rsid w:val="00873384"/>
    <w:rsid w:val="0088703E"/>
    <w:rsid w:val="00891572"/>
    <w:rsid w:val="008A29C5"/>
    <w:rsid w:val="008F1576"/>
    <w:rsid w:val="0090138C"/>
    <w:rsid w:val="00905A62"/>
    <w:rsid w:val="009265B8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B6A30"/>
    <w:rsid w:val="00CD5662"/>
    <w:rsid w:val="00CD66C1"/>
    <w:rsid w:val="00CE38CF"/>
    <w:rsid w:val="00CE7E31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908C-2D1F-4519-9A8C-18FB04AB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27</Pages>
  <Words>9679</Words>
  <Characters>55171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124</cp:revision>
  <cp:lastPrinted>2018-08-07T08:27:00Z</cp:lastPrinted>
  <dcterms:created xsi:type="dcterms:W3CDTF">2016-11-28T08:19:00Z</dcterms:created>
  <dcterms:modified xsi:type="dcterms:W3CDTF">2018-08-15T07:45:00Z</dcterms:modified>
</cp:coreProperties>
</file>