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6E" w:rsidRPr="00BE526E" w:rsidRDefault="00BE526E" w:rsidP="00BE526E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4C37E3" w:rsidRPr="00BE526E" w:rsidRDefault="004C37E3" w:rsidP="004C37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E526E">
        <w:rPr>
          <w:rFonts w:ascii="Times New Roman" w:hAnsi="Times New Roman" w:cs="Times New Roman"/>
          <w:b/>
          <w:sz w:val="28"/>
          <w:szCs w:val="28"/>
        </w:rPr>
        <w:t xml:space="preserve">Временные условия упрощения требований к субъектам </w:t>
      </w:r>
      <w:r w:rsidR="0049181E" w:rsidRPr="00BE526E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Pr="00BE526E">
        <w:rPr>
          <w:rFonts w:ascii="Times New Roman" w:hAnsi="Times New Roman" w:cs="Times New Roman"/>
          <w:b/>
          <w:sz w:val="28"/>
          <w:szCs w:val="28"/>
        </w:rPr>
        <w:t xml:space="preserve">, планирующим воспользоваться государственной поддержкой </w:t>
      </w:r>
      <w:r w:rsidR="0049181E" w:rsidRPr="00BE526E">
        <w:rPr>
          <w:rFonts w:ascii="Times New Roman" w:hAnsi="Times New Roman" w:cs="Times New Roman"/>
          <w:b/>
          <w:sz w:val="28"/>
          <w:szCs w:val="28"/>
        </w:rPr>
        <w:t xml:space="preserve">микрокредитной компании «Фонд поддержки предпринимательства Республики Адыгея» </w:t>
      </w:r>
      <w:r w:rsidRPr="00BE526E">
        <w:rPr>
          <w:rFonts w:ascii="Times New Roman" w:hAnsi="Times New Roman" w:cs="Times New Roman"/>
          <w:b/>
          <w:sz w:val="28"/>
          <w:szCs w:val="28"/>
        </w:rPr>
        <w:t xml:space="preserve">в виде предоставления микрозаймов и процедуре выдачи микрозаймов </w:t>
      </w:r>
      <w:r w:rsidR="0049181E" w:rsidRPr="00BE526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E526E">
        <w:rPr>
          <w:rFonts w:ascii="Times New Roman" w:hAnsi="Times New Roman" w:cs="Times New Roman"/>
          <w:b/>
          <w:sz w:val="28"/>
          <w:szCs w:val="28"/>
        </w:rPr>
        <w:t>2020 г</w:t>
      </w:r>
      <w:r w:rsidR="0049181E" w:rsidRPr="00BE526E">
        <w:rPr>
          <w:rFonts w:ascii="Times New Roman" w:hAnsi="Times New Roman" w:cs="Times New Roman"/>
          <w:b/>
          <w:sz w:val="28"/>
          <w:szCs w:val="28"/>
        </w:rPr>
        <w:t>оду</w:t>
      </w:r>
    </w:p>
    <w:bookmarkEnd w:id="0"/>
    <w:p w:rsidR="004C37E3" w:rsidRPr="003B3AEF" w:rsidRDefault="004C37E3" w:rsidP="00F838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181E" w:rsidRPr="003B3AEF" w:rsidRDefault="0049181E" w:rsidP="00F838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526E" w:rsidRDefault="00BE526E" w:rsidP="000D6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C71" w:rsidRPr="00BE526E" w:rsidRDefault="00F838A2" w:rsidP="000D6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6E">
        <w:rPr>
          <w:rFonts w:ascii="Times New Roman" w:hAnsi="Times New Roman" w:cs="Times New Roman"/>
          <w:sz w:val="28"/>
          <w:szCs w:val="28"/>
        </w:rPr>
        <w:t xml:space="preserve">1. Настоящие </w:t>
      </w:r>
      <w:r w:rsidR="0049181E" w:rsidRPr="00BE526E">
        <w:rPr>
          <w:rFonts w:ascii="Times New Roman" w:hAnsi="Times New Roman" w:cs="Times New Roman"/>
          <w:sz w:val="28"/>
          <w:szCs w:val="28"/>
        </w:rPr>
        <w:t>Временные условия</w:t>
      </w:r>
      <w:r w:rsidRPr="00BE526E">
        <w:rPr>
          <w:rFonts w:ascii="Times New Roman" w:hAnsi="Times New Roman" w:cs="Times New Roman"/>
          <w:sz w:val="28"/>
          <w:szCs w:val="28"/>
        </w:rPr>
        <w:t xml:space="preserve"> устанавливают цели, порядок и условия предоставления в 2020 году </w:t>
      </w:r>
      <w:r w:rsidR="0049181E" w:rsidRPr="00BE526E">
        <w:rPr>
          <w:rFonts w:ascii="Times New Roman" w:hAnsi="Times New Roman" w:cs="Times New Roman"/>
          <w:sz w:val="28"/>
          <w:szCs w:val="28"/>
        </w:rPr>
        <w:t xml:space="preserve">микрокредитной компанией «Фонд поддержки предпринимательства Республики Адыгея» (далее – Фонд, МКК) микрозаймов и процедуре выдачи микрозаймов </w:t>
      </w:r>
      <w:r w:rsidRPr="00BE526E">
        <w:rPr>
          <w:rFonts w:ascii="Times New Roman" w:hAnsi="Times New Roman" w:cs="Times New Roman"/>
          <w:sz w:val="28"/>
          <w:szCs w:val="28"/>
        </w:rPr>
        <w:t xml:space="preserve">на оказание неотложных мер по поддержке субъектов малого и среднего предпринимательства </w:t>
      </w:r>
      <w:r w:rsidR="0049181E" w:rsidRPr="00BE526E">
        <w:rPr>
          <w:rFonts w:ascii="Times New Roman" w:hAnsi="Times New Roman" w:cs="Times New Roman"/>
          <w:sz w:val="28"/>
          <w:szCs w:val="28"/>
        </w:rPr>
        <w:t xml:space="preserve">(далее – СМСП) </w:t>
      </w:r>
      <w:r w:rsidRPr="00BE526E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49181E" w:rsidRPr="00BE526E">
        <w:rPr>
          <w:rFonts w:ascii="Times New Roman" w:hAnsi="Times New Roman" w:cs="Times New Roman"/>
          <w:sz w:val="28"/>
          <w:szCs w:val="28"/>
        </w:rPr>
        <w:t>сложившейся</w:t>
      </w:r>
      <w:r w:rsidRPr="00BE526E">
        <w:rPr>
          <w:rFonts w:ascii="Times New Roman" w:hAnsi="Times New Roman" w:cs="Times New Roman"/>
          <w:sz w:val="28"/>
          <w:szCs w:val="28"/>
        </w:rPr>
        <w:t xml:space="preserve"> ситуации в связи с распространение</w:t>
      </w:r>
      <w:r w:rsidR="0049181E" w:rsidRPr="00BE526E">
        <w:rPr>
          <w:rFonts w:ascii="Times New Roman" w:hAnsi="Times New Roman" w:cs="Times New Roman"/>
          <w:sz w:val="28"/>
          <w:szCs w:val="28"/>
        </w:rPr>
        <w:t>м новой коронавирусной инфекции.</w:t>
      </w:r>
    </w:p>
    <w:p w:rsidR="00484A65" w:rsidRPr="00BE526E" w:rsidRDefault="00BE09F1" w:rsidP="000D6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6E">
        <w:rPr>
          <w:rFonts w:ascii="Times New Roman" w:hAnsi="Times New Roman" w:cs="Times New Roman"/>
          <w:sz w:val="28"/>
          <w:szCs w:val="28"/>
        </w:rPr>
        <w:t xml:space="preserve">2. </w:t>
      </w:r>
      <w:r w:rsidR="00BF72BD" w:rsidRPr="00BE526E">
        <w:rPr>
          <w:rFonts w:ascii="Times New Roman" w:hAnsi="Times New Roman" w:cs="Times New Roman"/>
          <w:sz w:val="28"/>
          <w:szCs w:val="28"/>
        </w:rPr>
        <w:t xml:space="preserve">В рамках настоящих условий </w:t>
      </w:r>
      <w:r w:rsidR="00BF72BD" w:rsidRPr="00BE526E">
        <w:rPr>
          <w:rFonts w:ascii="Times New Roman" w:hAnsi="Times New Roman" w:cs="Times New Roman"/>
          <w:color w:val="000000" w:themeColor="text1"/>
          <w:sz w:val="28"/>
          <w:szCs w:val="28"/>
        </w:rPr>
        <w:t>Фондом предоставляется льготный микрозайм в сумме до 1 000 000 (одного миллиона) рублей включительно сроком до 12 месяцев.</w:t>
      </w:r>
    </w:p>
    <w:p w:rsidR="008C25DF" w:rsidRPr="00BE526E" w:rsidRDefault="0049181E" w:rsidP="008C25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6E">
        <w:rPr>
          <w:rFonts w:ascii="Times New Roman" w:hAnsi="Times New Roman" w:cs="Times New Roman"/>
          <w:sz w:val="28"/>
          <w:szCs w:val="28"/>
        </w:rPr>
        <w:t xml:space="preserve">3. </w:t>
      </w:r>
      <w:r w:rsidR="008C25DF" w:rsidRPr="00BE526E">
        <w:rPr>
          <w:rFonts w:ascii="Times New Roman" w:hAnsi="Times New Roman" w:cs="Times New Roman"/>
          <w:sz w:val="28"/>
          <w:szCs w:val="28"/>
        </w:rPr>
        <w:t xml:space="preserve">Указанный льготный микрозайм предоставляется СМСП, сфера деятельности которых отнесена к 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утвержденный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инфекции». </w:t>
      </w:r>
    </w:p>
    <w:p w:rsidR="008C25DF" w:rsidRPr="00BE526E" w:rsidRDefault="008C25DF" w:rsidP="008C25DF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6E">
        <w:rPr>
          <w:rFonts w:ascii="Times New Roman" w:hAnsi="Times New Roman" w:cs="Times New Roman"/>
          <w:sz w:val="28"/>
          <w:szCs w:val="28"/>
        </w:rPr>
        <w:t xml:space="preserve">Также в соответствии с настоящими Временными условиями льготный микрозайм может предоставляться СМСП – управляющим компаниям и осуществляющим управление многоквартирными домами, включенным в реестр субъектов малого и среднего предпринимательства.  </w:t>
      </w:r>
    </w:p>
    <w:p w:rsidR="001A4F69" w:rsidRPr="00BE526E" w:rsidRDefault="0049181E" w:rsidP="008C25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6E">
        <w:rPr>
          <w:rFonts w:ascii="Times New Roman" w:hAnsi="Times New Roman" w:cs="Times New Roman"/>
          <w:sz w:val="28"/>
          <w:szCs w:val="28"/>
        </w:rPr>
        <w:t xml:space="preserve">4. </w:t>
      </w:r>
      <w:r w:rsidR="008C25DF" w:rsidRPr="00BE526E">
        <w:rPr>
          <w:rFonts w:ascii="Times New Roman" w:hAnsi="Times New Roman" w:cs="Times New Roman"/>
          <w:sz w:val="28"/>
          <w:szCs w:val="28"/>
        </w:rPr>
        <w:t>Процентная ставка за пользование микрозаймом составляет 1%.</w:t>
      </w:r>
    </w:p>
    <w:p w:rsidR="008C25DF" w:rsidRPr="00BE526E" w:rsidRDefault="008C25DF" w:rsidP="008C25D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526E">
        <w:rPr>
          <w:rFonts w:ascii="Times New Roman" w:hAnsi="Times New Roman" w:cs="Times New Roman"/>
          <w:sz w:val="28"/>
          <w:szCs w:val="28"/>
        </w:rPr>
        <w:t xml:space="preserve">5. </w:t>
      </w:r>
      <w:r w:rsidRPr="00BE52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СМСП, </w:t>
      </w:r>
      <w:r w:rsidRPr="00BE526E">
        <w:rPr>
          <w:rFonts w:ascii="Times New Roman" w:hAnsi="Times New Roman" w:cs="Times New Roman"/>
          <w:sz w:val="28"/>
          <w:szCs w:val="28"/>
        </w:rPr>
        <w:t>планирующим воспользоваться государственной поддержкой согласно настоящих Временных условий д</w:t>
      </w:r>
      <w:r w:rsidRPr="00A3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олжны </w:t>
      </w:r>
      <w:r w:rsidRPr="00BE5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предпринимательскую (хозяйственную) деятельность сроком не менее 6 (шести) месяцев по </w:t>
      </w:r>
      <w:r w:rsidRPr="00BE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состоянию на дату подачи (регистрации) заявления. </w:t>
      </w:r>
    </w:p>
    <w:p w:rsidR="008C25DF" w:rsidRPr="00A35792" w:rsidRDefault="008C25DF" w:rsidP="008C25D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5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Данный факт</w:t>
      </w:r>
      <w:r w:rsidRPr="00BE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подтверждаться </w:t>
      </w:r>
      <w:r w:rsidRPr="00A35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основным, так и дополнительными кодами по ОКВЭД согласно данным ЕГРЮЛ/ЕГРИП на 1 марта 2020 года.</w:t>
      </w:r>
    </w:p>
    <w:p w:rsidR="008C25DF" w:rsidRPr="00BE526E" w:rsidRDefault="008C25DF" w:rsidP="008C25D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Микрозаймы предоставляются СМСП, имеющим положительную кредитную историю, а именно: отсутствие негативной информации в Бюро кредитных историй за последние 3 года до даты подачи заявления, при этом допускается наличие просроченной задолженности продолжительностью каждая не более 90 календарных дней по кредитным договорам, договорам лизинга, договорам займа, заключенным с другими финансовыми организациями (отсутствие кредитной истории допускается).</w:t>
      </w:r>
    </w:p>
    <w:p w:rsidR="00A35792" w:rsidRPr="00BE526E" w:rsidRDefault="008C25DF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 </w:t>
      </w:r>
      <w:r w:rsidR="003B3AEF" w:rsidRPr="00BE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отношении СМСП н</w:t>
      </w:r>
      <w:r w:rsidR="00A35792" w:rsidRPr="00A35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дату заключения договора</w:t>
      </w:r>
      <w:r w:rsidR="003B3AEF" w:rsidRPr="00BE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35792" w:rsidRPr="00BE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</w:t>
      </w:r>
      <w:r w:rsidR="003B3AEF" w:rsidRPr="00BE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должна быть </w:t>
      </w:r>
      <w:r w:rsidR="00A35792" w:rsidRPr="00BE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введена</w:t>
      </w:r>
      <w:r w:rsidR="003B3AEF" w:rsidRPr="00BE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35792" w:rsidRPr="00A35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процедура банкротства, деятельно</w:t>
      </w:r>
      <w:r w:rsidR="003B3AEF" w:rsidRPr="00BE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сть заемщика не должна быть приостановлена по иным причинам</w:t>
      </w:r>
      <w:r w:rsidR="00A35792" w:rsidRPr="00A35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C25DF" w:rsidRPr="00BE526E" w:rsidRDefault="008C25DF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 Залоговая стоимость имущества определяется путем дисконтирования (снижения) рыночной стоимости имущества с использованием установленных коэффициентов дисконтирования в соответствии с таблицей Приложения к настоящим Временным условиям. </w:t>
      </w:r>
    </w:p>
    <w:p w:rsidR="003B3AEF" w:rsidRPr="00BE526E" w:rsidRDefault="008C25DF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9</w:t>
      </w:r>
      <w:r w:rsidR="003B3AEF" w:rsidRPr="00BE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Иные обстоятельства предоставления и сопровождения микрозаймов в рамках настоящих Временных условий определены актуальными Правилами предоставления микрозаймов субъектам малого и среднего предпринимательства и организациям инфраструктуры поддержки малого и среднего предпринимательства микрокредитной компанией «Фонд поддержки предпринимательства Республики Адыгея», утвержденными Советом Фонда. </w:t>
      </w:r>
    </w:p>
    <w:p w:rsidR="008C25DF" w:rsidRDefault="008C25DF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25DF" w:rsidRDefault="008C25DF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25DF" w:rsidRDefault="008C25DF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25DF" w:rsidRDefault="008C25DF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25DF" w:rsidRDefault="008C25DF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E526E" w:rsidRDefault="00BE526E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E526E" w:rsidRDefault="00BE526E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E526E" w:rsidRDefault="00BE526E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E526E" w:rsidRDefault="00BE526E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E526E" w:rsidRDefault="00BE526E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25DF" w:rsidRDefault="008C25DF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25DF" w:rsidRDefault="008C25DF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25DF" w:rsidRDefault="008C25DF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25DF" w:rsidRDefault="008C25DF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25DF" w:rsidRDefault="008C25DF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25DF" w:rsidRDefault="008C25DF" w:rsidP="008C25DF">
      <w:pPr>
        <w:jc w:val="right"/>
        <w:rPr>
          <w:rFonts w:ascii="Times New Roman" w:hAnsi="Times New Roman" w:cs="Times New Roman"/>
          <w:b/>
        </w:rPr>
      </w:pPr>
      <w:r w:rsidRPr="001F6C0D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к Временным условиям</w:t>
      </w:r>
    </w:p>
    <w:p w:rsidR="008C25DF" w:rsidRPr="001F6C0D" w:rsidRDefault="008C25DF" w:rsidP="008C25DF">
      <w:pPr>
        <w:jc w:val="right"/>
        <w:rPr>
          <w:rFonts w:ascii="Times New Roman" w:hAnsi="Times New Roman" w:cs="Times New Roman"/>
          <w:b/>
        </w:rPr>
      </w:pPr>
    </w:p>
    <w:p w:rsidR="008C25DF" w:rsidRPr="00BE526E" w:rsidRDefault="008C25DF" w:rsidP="008C2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E">
        <w:rPr>
          <w:rFonts w:ascii="Times New Roman" w:hAnsi="Times New Roman" w:cs="Times New Roman"/>
          <w:b/>
          <w:sz w:val="28"/>
          <w:szCs w:val="28"/>
        </w:rPr>
        <w:t>Коэффициенты залогового дисконтирования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40"/>
        <w:gridCol w:w="3119"/>
        <w:gridCol w:w="1559"/>
        <w:gridCol w:w="993"/>
        <w:gridCol w:w="975"/>
        <w:gridCol w:w="862"/>
        <w:gridCol w:w="1437"/>
      </w:tblGrid>
      <w:tr w:rsidR="008C25DF" w:rsidRPr="001F6C0D" w:rsidTr="00C77E6A">
        <w:trPr>
          <w:trHeight w:val="735"/>
        </w:trPr>
        <w:tc>
          <w:tcPr>
            <w:tcW w:w="534" w:type="dxa"/>
            <w:vMerge w:val="restart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40" w:type="dxa"/>
            <w:vMerge w:val="restart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1-й уровень</w:t>
            </w:r>
          </w:p>
        </w:tc>
        <w:tc>
          <w:tcPr>
            <w:tcW w:w="4678" w:type="dxa"/>
            <w:gridSpan w:val="2"/>
            <w:vMerge w:val="restart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2-й уровень</w:t>
            </w:r>
          </w:p>
        </w:tc>
        <w:tc>
          <w:tcPr>
            <w:tcW w:w="2830" w:type="dxa"/>
            <w:gridSpan w:val="3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Основное обеспечение</w:t>
            </w:r>
            <w:r w:rsidRPr="001F6C0D">
              <w:rPr>
                <w:rFonts w:ascii="Times New Roman" w:hAnsi="Times New Roman" w:cs="Times New Roman"/>
              </w:rPr>
              <w:br/>
              <w:t>Дисконт, %</w:t>
            </w:r>
          </w:p>
        </w:tc>
        <w:tc>
          <w:tcPr>
            <w:tcW w:w="1437" w:type="dxa"/>
            <w:vMerge w:val="restart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Комфортное обеспечение дисконт, %</w:t>
            </w:r>
          </w:p>
        </w:tc>
      </w:tr>
      <w:tr w:rsidR="008C25DF" w:rsidRPr="001F6C0D" w:rsidTr="00C77E6A">
        <w:trPr>
          <w:trHeight w:val="30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gridSpan w:val="3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Ликвидность</w:t>
            </w:r>
          </w:p>
        </w:tc>
        <w:tc>
          <w:tcPr>
            <w:tcW w:w="1437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</w:tr>
      <w:tr w:rsidR="008C25DF" w:rsidRPr="001F6C0D" w:rsidTr="00C77E6A">
        <w:trPr>
          <w:trHeight w:val="30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437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</w:tr>
      <w:tr w:rsidR="008C25DF" w:rsidRPr="001F6C0D" w:rsidTr="00C77E6A">
        <w:trPr>
          <w:trHeight w:val="300"/>
        </w:trPr>
        <w:tc>
          <w:tcPr>
            <w:tcW w:w="534" w:type="dxa"/>
            <w:vMerge w:val="restart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vMerge w:val="restart"/>
            <w:textDirection w:val="btLr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Недвижимость</w:t>
            </w:r>
          </w:p>
        </w:tc>
        <w:tc>
          <w:tcPr>
            <w:tcW w:w="4678" w:type="dxa"/>
            <w:gridSpan w:val="2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Коммерческая недвижимость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8C25DF" w:rsidRPr="001F6C0D" w:rsidTr="00C77E6A">
        <w:trPr>
          <w:trHeight w:val="30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Жилая недвижимость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C25DF" w:rsidRPr="001F6C0D" w:rsidTr="00C77E6A">
        <w:trPr>
          <w:trHeight w:val="30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Промышленная недвижимость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C25DF" w:rsidRPr="001F6C0D" w:rsidTr="00C77E6A">
        <w:trPr>
          <w:trHeight w:val="30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Земельные участки (С/Х назначения)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C25DF" w:rsidRPr="001F6C0D" w:rsidTr="00C77E6A">
        <w:trPr>
          <w:trHeight w:val="30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Земельные участки (земли поселений)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C25DF" w:rsidRPr="001F6C0D" w:rsidTr="00C77E6A">
        <w:trPr>
          <w:trHeight w:val="30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Земельные участки (земли промышленного и иного специального назначения)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C25DF" w:rsidRPr="001F6C0D" w:rsidTr="00C77E6A">
        <w:trPr>
          <w:trHeight w:val="30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Объекты незавершенного строительства</w:t>
            </w:r>
          </w:p>
        </w:tc>
        <w:tc>
          <w:tcPr>
            <w:tcW w:w="2830" w:type="dxa"/>
            <w:gridSpan w:val="3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50</w:t>
            </w:r>
          </w:p>
        </w:tc>
      </w:tr>
      <w:tr w:rsidR="008C25DF" w:rsidRPr="001F6C0D" w:rsidTr="00C77E6A">
        <w:trPr>
          <w:trHeight w:val="63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Права собственности и аренды на незастроенные земельные участки в собственности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C25DF" w:rsidRPr="001F6C0D" w:rsidTr="00C77E6A">
        <w:trPr>
          <w:trHeight w:val="300"/>
        </w:trPr>
        <w:tc>
          <w:tcPr>
            <w:tcW w:w="534" w:type="dxa"/>
            <w:vMerge w:val="restart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vMerge w:val="restart"/>
            <w:textDirection w:val="btLr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Оборудование и транспорт</w:t>
            </w:r>
          </w:p>
        </w:tc>
        <w:tc>
          <w:tcPr>
            <w:tcW w:w="3119" w:type="dxa"/>
            <w:vMerge w:val="restart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Технологическое оборудование</w:t>
            </w:r>
          </w:p>
        </w:tc>
        <w:tc>
          <w:tcPr>
            <w:tcW w:w="155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Возрастом до 6 мес.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40</w:t>
            </w:r>
          </w:p>
        </w:tc>
      </w:tr>
      <w:tr w:rsidR="008C25DF" w:rsidRPr="001F6C0D" w:rsidTr="00C77E6A">
        <w:trPr>
          <w:trHeight w:val="30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Возрастом до 1 года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45</w:t>
            </w:r>
          </w:p>
        </w:tc>
      </w:tr>
      <w:tr w:rsidR="008C25DF" w:rsidRPr="001F6C0D" w:rsidTr="00C77E6A">
        <w:trPr>
          <w:trHeight w:val="345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Возрастом свыше 1 года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50</w:t>
            </w:r>
          </w:p>
        </w:tc>
      </w:tr>
      <w:tr w:rsidR="008C25DF" w:rsidRPr="001F6C0D" w:rsidTr="00C77E6A">
        <w:trPr>
          <w:trHeight w:val="102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  <w:bCs/>
              </w:rPr>
              <w:t>Легковой и грузовой</w:t>
            </w:r>
            <w:r w:rsidRPr="001F6C0D">
              <w:rPr>
                <w:rFonts w:ascii="Times New Roman" w:hAnsi="Times New Roman" w:cs="Times New Roman"/>
              </w:rPr>
              <w:t xml:space="preserve"> автотранспорт </w:t>
            </w:r>
            <w:r w:rsidRPr="001F6C0D">
              <w:rPr>
                <w:rFonts w:ascii="Times New Roman" w:hAnsi="Times New Roman" w:cs="Times New Roman"/>
                <w:bCs/>
              </w:rPr>
              <w:t>отечественного</w:t>
            </w:r>
            <w:r w:rsidRPr="001F6C0D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55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 xml:space="preserve"> возрастом </w:t>
            </w:r>
            <w:r w:rsidRPr="001F6C0D">
              <w:rPr>
                <w:rFonts w:ascii="Times New Roman" w:hAnsi="Times New Roman" w:cs="Times New Roman"/>
              </w:rPr>
              <w:br/>
              <w:t>менее 1 года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40</w:t>
            </w:r>
          </w:p>
        </w:tc>
      </w:tr>
      <w:tr w:rsidR="008C25DF" w:rsidRPr="001F6C0D" w:rsidTr="00C77E6A">
        <w:trPr>
          <w:trHeight w:val="102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  <w:bCs/>
              </w:rPr>
              <w:t>Легковой и грузовой</w:t>
            </w:r>
            <w:r w:rsidRPr="001F6C0D">
              <w:rPr>
                <w:rFonts w:ascii="Times New Roman" w:hAnsi="Times New Roman" w:cs="Times New Roman"/>
              </w:rPr>
              <w:t xml:space="preserve"> автотранспорт </w:t>
            </w:r>
            <w:r w:rsidRPr="001F6C0D">
              <w:rPr>
                <w:rFonts w:ascii="Times New Roman" w:hAnsi="Times New Roman" w:cs="Times New Roman"/>
                <w:bCs/>
              </w:rPr>
              <w:t xml:space="preserve">иностранного </w:t>
            </w:r>
            <w:r w:rsidRPr="001F6C0D">
              <w:rPr>
                <w:rFonts w:ascii="Times New Roman" w:hAnsi="Times New Roman" w:cs="Times New Roman"/>
              </w:rPr>
              <w:t xml:space="preserve">производства </w:t>
            </w:r>
          </w:p>
        </w:tc>
        <w:tc>
          <w:tcPr>
            <w:tcW w:w="155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 xml:space="preserve">возрастом </w:t>
            </w:r>
            <w:r w:rsidRPr="001F6C0D">
              <w:rPr>
                <w:rFonts w:ascii="Times New Roman" w:hAnsi="Times New Roman" w:cs="Times New Roman"/>
              </w:rPr>
              <w:br/>
              <w:t>менее 1 года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35</w:t>
            </w:r>
          </w:p>
        </w:tc>
      </w:tr>
      <w:tr w:rsidR="008C25DF" w:rsidRPr="001F6C0D" w:rsidTr="00C77E6A">
        <w:trPr>
          <w:trHeight w:val="102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  <w:bCs/>
              </w:rPr>
              <w:t>Легковой</w:t>
            </w:r>
            <w:r w:rsidRPr="001F6C0D">
              <w:rPr>
                <w:rFonts w:ascii="Times New Roman" w:hAnsi="Times New Roman" w:cs="Times New Roman"/>
              </w:rPr>
              <w:t xml:space="preserve"> автотранспорт </w:t>
            </w:r>
            <w:r w:rsidRPr="001F6C0D">
              <w:rPr>
                <w:rFonts w:ascii="Times New Roman" w:hAnsi="Times New Roman" w:cs="Times New Roman"/>
                <w:bCs/>
              </w:rPr>
              <w:t>отечественного</w:t>
            </w:r>
            <w:r w:rsidRPr="001F6C0D">
              <w:rPr>
                <w:rFonts w:ascii="Times New Roman" w:hAnsi="Times New Roman" w:cs="Times New Roman"/>
              </w:rPr>
              <w:t xml:space="preserve"> производства </w:t>
            </w:r>
          </w:p>
        </w:tc>
        <w:tc>
          <w:tcPr>
            <w:tcW w:w="155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возрастом более 1 года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50</w:t>
            </w:r>
          </w:p>
        </w:tc>
      </w:tr>
      <w:tr w:rsidR="008C25DF" w:rsidRPr="001F6C0D" w:rsidTr="00C77E6A">
        <w:trPr>
          <w:trHeight w:val="102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  <w:bCs/>
              </w:rPr>
              <w:t>Легковой</w:t>
            </w:r>
            <w:r w:rsidRPr="001F6C0D">
              <w:rPr>
                <w:rFonts w:ascii="Times New Roman" w:hAnsi="Times New Roman" w:cs="Times New Roman"/>
              </w:rPr>
              <w:t xml:space="preserve"> автотранспорт </w:t>
            </w:r>
            <w:r w:rsidRPr="001F6C0D">
              <w:rPr>
                <w:rFonts w:ascii="Times New Roman" w:hAnsi="Times New Roman" w:cs="Times New Roman"/>
                <w:bCs/>
              </w:rPr>
              <w:t xml:space="preserve">иностранного </w:t>
            </w:r>
            <w:r w:rsidRPr="001F6C0D">
              <w:rPr>
                <w:rFonts w:ascii="Times New Roman" w:hAnsi="Times New Roman" w:cs="Times New Roman"/>
              </w:rPr>
              <w:t xml:space="preserve">производства </w:t>
            </w:r>
          </w:p>
        </w:tc>
        <w:tc>
          <w:tcPr>
            <w:tcW w:w="155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возрастом более 1 года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50</w:t>
            </w:r>
          </w:p>
        </w:tc>
      </w:tr>
      <w:tr w:rsidR="008C25DF" w:rsidRPr="001F6C0D" w:rsidTr="00C77E6A">
        <w:trPr>
          <w:trHeight w:val="102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  <w:bCs/>
              </w:rPr>
              <w:t xml:space="preserve">Грузовой </w:t>
            </w:r>
            <w:r w:rsidRPr="001F6C0D">
              <w:rPr>
                <w:rFonts w:ascii="Times New Roman" w:hAnsi="Times New Roman" w:cs="Times New Roman"/>
              </w:rPr>
              <w:t xml:space="preserve">автотранспорт </w:t>
            </w:r>
            <w:r w:rsidRPr="001F6C0D">
              <w:rPr>
                <w:rFonts w:ascii="Times New Roman" w:hAnsi="Times New Roman" w:cs="Times New Roman"/>
                <w:bCs/>
              </w:rPr>
              <w:t>отечественного</w:t>
            </w:r>
            <w:r w:rsidRPr="001F6C0D">
              <w:rPr>
                <w:rFonts w:ascii="Times New Roman" w:hAnsi="Times New Roman" w:cs="Times New Roman"/>
              </w:rPr>
              <w:t xml:space="preserve"> производства </w:t>
            </w:r>
          </w:p>
        </w:tc>
        <w:tc>
          <w:tcPr>
            <w:tcW w:w="155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50</w:t>
            </w:r>
          </w:p>
        </w:tc>
      </w:tr>
      <w:tr w:rsidR="008C25DF" w:rsidRPr="001F6C0D" w:rsidTr="00C77E6A">
        <w:trPr>
          <w:trHeight w:val="102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  <w:bCs/>
              </w:rPr>
              <w:t>Грузовой</w:t>
            </w:r>
            <w:r w:rsidRPr="001F6C0D">
              <w:rPr>
                <w:rFonts w:ascii="Times New Roman" w:hAnsi="Times New Roman" w:cs="Times New Roman"/>
              </w:rPr>
              <w:t xml:space="preserve"> автотранспорт </w:t>
            </w:r>
            <w:r w:rsidRPr="001F6C0D">
              <w:rPr>
                <w:rFonts w:ascii="Times New Roman" w:hAnsi="Times New Roman" w:cs="Times New Roman"/>
                <w:bCs/>
              </w:rPr>
              <w:t xml:space="preserve">иностранного </w:t>
            </w:r>
            <w:r w:rsidRPr="001F6C0D">
              <w:rPr>
                <w:rFonts w:ascii="Times New Roman" w:hAnsi="Times New Roman" w:cs="Times New Roman"/>
              </w:rPr>
              <w:t xml:space="preserve">производства возрастом </w:t>
            </w:r>
            <w:r w:rsidRPr="001F6C0D">
              <w:rPr>
                <w:rFonts w:ascii="Times New Roman" w:hAnsi="Times New Roman" w:cs="Times New Roman"/>
                <w:bCs/>
              </w:rPr>
              <w:t>от 1-10 лет</w:t>
            </w:r>
          </w:p>
        </w:tc>
        <w:tc>
          <w:tcPr>
            <w:tcW w:w="155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50</w:t>
            </w:r>
          </w:p>
        </w:tc>
      </w:tr>
      <w:tr w:rsidR="008C25DF" w:rsidRPr="001F6C0D" w:rsidTr="00C77E6A">
        <w:trPr>
          <w:trHeight w:val="30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Автобусы (микроавтобусы)</w:t>
            </w:r>
          </w:p>
        </w:tc>
        <w:tc>
          <w:tcPr>
            <w:tcW w:w="155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50</w:t>
            </w:r>
          </w:p>
        </w:tc>
      </w:tr>
      <w:tr w:rsidR="008C25DF" w:rsidRPr="001F6C0D" w:rsidTr="00C77E6A">
        <w:trPr>
          <w:trHeight w:val="30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Сельхозтехника, спецтехника и самоходные механизмы</w:t>
            </w:r>
          </w:p>
        </w:tc>
        <w:tc>
          <w:tcPr>
            <w:tcW w:w="155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 xml:space="preserve">возрастом менее1 года 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35</w:t>
            </w:r>
          </w:p>
        </w:tc>
      </w:tr>
      <w:tr w:rsidR="008C25DF" w:rsidRPr="001F6C0D" w:rsidTr="00C77E6A">
        <w:trPr>
          <w:trHeight w:val="30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 xml:space="preserve">возрастом более 1 года 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C25DF" w:rsidRPr="001F6C0D" w:rsidTr="00C77E6A">
        <w:trPr>
          <w:trHeight w:val="330"/>
        </w:trPr>
        <w:tc>
          <w:tcPr>
            <w:tcW w:w="534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Прочие машины, оборудование и прицепы</w:t>
            </w:r>
          </w:p>
        </w:tc>
        <w:tc>
          <w:tcPr>
            <w:tcW w:w="1559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5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2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7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8C25DF" w:rsidRPr="001F6C0D" w:rsidRDefault="008C25DF" w:rsidP="008C25DF">
      <w:pPr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1880"/>
        <w:gridCol w:w="7072"/>
        <w:gridCol w:w="541"/>
      </w:tblGrid>
      <w:tr w:rsidR="008C25DF" w:rsidRPr="001F6C0D" w:rsidTr="00C77E6A">
        <w:trPr>
          <w:gridAfter w:val="1"/>
          <w:wAfter w:w="541" w:type="dxa"/>
          <w:trHeight w:val="300"/>
        </w:trPr>
        <w:tc>
          <w:tcPr>
            <w:tcW w:w="9632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 xml:space="preserve">      Ликвидность определяется в соответствии с таблицей</w:t>
            </w:r>
          </w:p>
        </w:tc>
      </w:tr>
      <w:tr w:rsidR="008C25DF" w:rsidRPr="001F6C0D" w:rsidTr="00C77E6A">
        <w:trPr>
          <w:trHeight w:val="779"/>
        </w:trPr>
        <w:tc>
          <w:tcPr>
            <w:tcW w:w="680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80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Ликвидность</w:t>
            </w:r>
          </w:p>
        </w:tc>
        <w:tc>
          <w:tcPr>
            <w:tcW w:w="7613" w:type="dxa"/>
            <w:gridSpan w:val="2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Срок проведения мероприятий по обращению взыскания на залог (с момента направления требований о возврате задолженности до поступления денежных средств в кассу)</w:t>
            </w:r>
          </w:p>
        </w:tc>
      </w:tr>
      <w:tr w:rsidR="008C25DF" w:rsidRPr="001F6C0D" w:rsidTr="00C77E6A">
        <w:trPr>
          <w:trHeight w:val="300"/>
        </w:trPr>
        <w:tc>
          <w:tcPr>
            <w:tcW w:w="680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7613" w:type="dxa"/>
            <w:gridSpan w:val="2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до 6 месяцев</w:t>
            </w:r>
          </w:p>
        </w:tc>
      </w:tr>
      <w:tr w:rsidR="008C25DF" w:rsidRPr="001F6C0D" w:rsidTr="00C77E6A">
        <w:trPr>
          <w:trHeight w:val="300"/>
        </w:trPr>
        <w:tc>
          <w:tcPr>
            <w:tcW w:w="680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0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7613" w:type="dxa"/>
            <w:gridSpan w:val="2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от 6 месяцев до 1 года</w:t>
            </w:r>
          </w:p>
        </w:tc>
      </w:tr>
      <w:tr w:rsidR="008C25DF" w:rsidRPr="001F6C0D" w:rsidTr="00C77E6A">
        <w:trPr>
          <w:trHeight w:val="300"/>
        </w:trPr>
        <w:tc>
          <w:tcPr>
            <w:tcW w:w="680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0" w:type="dxa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7613" w:type="dxa"/>
            <w:gridSpan w:val="2"/>
          </w:tcPr>
          <w:p w:rsidR="008C25DF" w:rsidRPr="001F6C0D" w:rsidRDefault="008C25DF" w:rsidP="00C77E6A">
            <w:pPr>
              <w:rPr>
                <w:rFonts w:ascii="Times New Roman" w:hAnsi="Times New Roman" w:cs="Times New Roman"/>
              </w:rPr>
            </w:pPr>
            <w:r w:rsidRPr="001F6C0D">
              <w:rPr>
                <w:rFonts w:ascii="Times New Roman" w:hAnsi="Times New Roman" w:cs="Times New Roman"/>
              </w:rPr>
              <w:t>более 1 года</w:t>
            </w:r>
          </w:p>
        </w:tc>
      </w:tr>
    </w:tbl>
    <w:p w:rsidR="008C25DF" w:rsidRPr="001F6C0D" w:rsidRDefault="008C25DF" w:rsidP="008C25DF">
      <w:pPr>
        <w:rPr>
          <w:rFonts w:ascii="Times New Roman" w:hAnsi="Times New Roman" w:cs="Times New Roman"/>
        </w:rPr>
      </w:pPr>
    </w:p>
    <w:p w:rsidR="008C25DF" w:rsidRPr="001F6C0D" w:rsidRDefault="008C25DF" w:rsidP="008C25DF">
      <w:pPr>
        <w:rPr>
          <w:rFonts w:ascii="Times New Roman" w:hAnsi="Times New Roman" w:cs="Times New Roman"/>
        </w:rPr>
      </w:pPr>
    </w:p>
    <w:p w:rsidR="008C25DF" w:rsidRPr="00A35792" w:rsidRDefault="008C25DF" w:rsidP="003B3AE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0F6E" w:rsidRPr="00A35792" w:rsidRDefault="008C0F6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sectPr w:rsidR="008C0F6E" w:rsidRPr="00A35792" w:rsidSect="00BF72BD">
      <w:pgSz w:w="11906" w:h="16838"/>
      <w:pgMar w:top="709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1FA6"/>
    <w:multiLevelType w:val="multilevel"/>
    <w:tmpl w:val="98AC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B6"/>
    <w:rsid w:val="000D6C71"/>
    <w:rsid w:val="001A4F69"/>
    <w:rsid w:val="003B3AEF"/>
    <w:rsid w:val="00417704"/>
    <w:rsid w:val="00484A65"/>
    <w:rsid w:val="0049181E"/>
    <w:rsid w:val="004C37E3"/>
    <w:rsid w:val="005C3B1D"/>
    <w:rsid w:val="0070075F"/>
    <w:rsid w:val="008C0F6E"/>
    <w:rsid w:val="008C25DF"/>
    <w:rsid w:val="008D42BD"/>
    <w:rsid w:val="009078F4"/>
    <w:rsid w:val="00A31991"/>
    <w:rsid w:val="00A35792"/>
    <w:rsid w:val="00BE09F1"/>
    <w:rsid w:val="00BE526E"/>
    <w:rsid w:val="00BF72BD"/>
    <w:rsid w:val="00DB49D9"/>
    <w:rsid w:val="00E6014D"/>
    <w:rsid w:val="00F245B6"/>
    <w:rsid w:val="00F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3CC8-0759-46F8-9B43-8671D003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792"/>
    <w:rPr>
      <w:b/>
      <w:bCs/>
    </w:rPr>
  </w:style>
  <w:style w:type="character" w:customStyle="1" w:styleId="apple-converted-space">
    <w:name w:val="apple-converted-space"/>
    <w:basedOn w:val="a0"/>
    <w:rsid w:val="00A35792"/>
  </w:style>
  <w:style w:type="character" w:styleId="a5">
    <w:name w:val="Hyperlink"/>
    <w:basedOn w:val="a0"/>
    <w:uiPriority w:val="99"/>
    <w:semiHidden/>
    <w:unhideWhenUsed/>
    <w:rsid w:val="00A35792"/>
    <w:rPr>
      <w:color w:val="0000FF"/>
      <w:u w:val="single"/>
    </w:rPr>
  </w:style>
  <w:style w:type="table" w:styleId="a6">
    <w:name w:val="Table Grid"/>
    <w:basedOn w:val="a1"/>
    <w:uiPriority w:val="59"/>
    <w:rsid w:val="00484A65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4A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4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No</cp:lastModifiedBy>
  <cp:revision>2</cp:revision>
  <cp:lastPrinted>2020-04-30T10:46:00Z</cp:lastPrinted>
  <dcterms:created xsi:type="dcterms:W3CDTF">2020-05-07T12:04:00Z</dcterms:created>
  <dcterms:modified xsi:type="dcterms:W3CDTF">2020-05-07T12:04:00Z</dcterms:modified>
</cp:coreProperties>
</file>