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 w:rsidR="00D27F43">
        <w:rPr>
          <w:b/>
          <w:sz w:val="28"/>
          <w:szCs w:val="28"/>
        </w:rPr>
        <w:t xml:space="preserve"> </w:t>
      </w:r>
      <w:r w:rsidRPr="00AA2D47">
        <w:rPr>
          <w:b/>
          <w:sz w:val="28"/>
          <w:szCs w:val="28"/>
        </w:rPr>
        <w:t xml:space="preserve"> </w:t>
      </w:r>
      <w:r w:rsidR="00D27F4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</w:t>
      </w:r>
      <w:r w:rsidR="006A6AC3">
        <w:rPr>
          <w:b/>
          <w:sz w:val="28"/>
          <w:szCs w:val="28"/>
        </w:rPr>
        <w:t>22</w:t>
      </w:r>
      <w:bookmarkStart w:id="0" w:name="_GoBack"/>
      <w:bookmarkEnd w:id="0"/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D7774E">
        <w:rPr>
          <w:b/>
          <w:sz w:val="32"/>
          <w:szCs w:val="32"/>
        </w:rPr>
        <w:t>20</w:t>
      </w:r>
      <w:r w:rsidR="003F12A1">
        <w:rPr>
          <w:b/>
          <w:sz w:val="32"/>
          <w:szCs w:val="32"/>
        </w:rPr>
        <w:t>21</w:t>
      </w:r>
      <w:r w:rsidR="0029427B">
        <w:rPr>
          <w:b/>
          <w:sz w:val="32"/>
          <w:szCs w:val="32"/>
        </w:rPr>
        <w:t xml:space="preserve"> год</w:t>
      </w:r>
      <w:r w:rsidRPr="00D613AE">
        <w:rPr>
          <w:b/>
          <w:sz w:val="32"/>
          <w:szCs w:val="32"/>
        </w:rPr>
        <w:t>.</w:t>
      </w:r>
    </w:p>
    <w:p w:rsidR="005F237E" w:rsidRDefault="00FD654A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Администрацией</w:t>
      </w:r>
      <w:r w:rsidRPr="00FD654A">
        <w:rPr>
          <w:color w:val="052635"/>
          <w:sz w:val="28"/>
          <w:szCs w:val="28"/>
        </w:rPr>
        <w:t xml:space="preserve"> МО «Шовгеновский район»</w:t>
      </w:r>
      <w:r>
        <w:rPr>
          <w:color w:val="052635"/>
          <w:sz w:val="28"/>
          <w:szCs w:val="28"/>
        </w:rPr>
        <w:t xml:space="preserve"> ведется постоянная работа с предложениями, заявлениями и жалобами граждан. Работа с обращениями граждан  расценивается как одна из приоритетных государственных функций.</w:t>
      </w:r>
    </w:p>
    <w:p w:rsidR="00FD654A" w:rsidRDefault="00FD654A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Обращения граждан в администрацию МО «Шовгеновский район»</w:t>
      </w:r>
      <w:r w:rsidR="00861E91">
        <w:rPr>
          <w:color w:val="052635"/>
          <w:sz w:val="28"/>
          <w:szCs w:val="28"/>
        </w:rPr>
        <w:t xml:space="preserve"> поступают в виде заявлений, писем, корреспонденции электронной почты, а также  в устной форме на личном приеме главы района.</w:t>
      </w:r>
    </w:p>
    <w:p w:rsidR="00861E91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Закон определяет сроки рассмотрения обращений граждан. Срок рассмотрения не должен превышать 30 дней.</w:t>
      </w:r>
    </w:p>
    <w:p w:rsidR="00861E91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Все обращения граждан, поступившие в администрацию района, регистрируются, обрабатываются, исполняются и контролируются. По всем обращениям граждан своевременно направляются ответы, даются разъяснения по существу поставленных вопросов. Ни одно обращение не остается без внимания.</w:t>
      </w:r>
    </w:p>
    <w:p w:rsidR="00837016" w:rsidRDefault="00837016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района, т.к.  в обращениях граждан поднимаются социальн</w:t>
      </w:r>
      <w:proofErr w:type="gramStart"/>
      <w:r>
        <w:rPr>
          <w:color w:val="052635"/>
          <w:sz w:val="28"/>
          <w:szCs w:val="28"/>
        </w:rPr>
        <w:t>о-</w:t>
      </w:r>
      <w:proofErr w:type="gramEnd"/>
      <w:r>
        <w:rPr>
          <w:color w:val="052635"/>
          <w:sz w:val="28"/>
          <w:szCs w:val="28"/>
        </w:rPr>
        <w:t xml:space="preserve"> значимые проблемы, касающиеся всех сторон нашей жизни. К решению вопросов, изложенных в письмах, привлекаются </w:t>
      </w:r>
      <w:r w:rsidR="00DD09F4">
        <w:rPr>
          <w:color w:val="052635"/>
          <w:sz w:val="28"/>
          <w:szCs w:val="28"/>
        </w:rPr>
        <w:t xml:space="preserve"> все - руководители структурных подразделений,  руководители предприятий и организаций, главы сельских поселений, входящие в состав МО «Шовгеновский район». Всем руководителям структурных подразделений, начальникам управлений, отделов администрации МО «Шовгеновский район» рекомендовано взять на особый контроль вопрос своевременного рассмотрения, решения обозначенных проблем и отправки ответов на указанные в обращениях адреса для исключения повторного  обращения граждан по вопросу  о неполучении ответов. </w:t>
      </w:r>
    </w:p>
    <w:p w:rsidR="00861E91" w:rsidRPr="00FD654A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В администрации  района круглосуточно работает Единая дежурно-</w:t>
      </w:r>
      <w:r w:rsidR="00837016">
        <w:rPr>
          <w:color w:val="052635"/>
          <w:sz w:val="28"/>
          <w:szCs w:val="28"/>
        </w:rPr>
        <w:t>диспетчерская</w:t>
      </w:r>
      <w:r>
        <w:rPr>
          <w:color w:val="052635"/>
          <w:sz w:val="28"/>
          <w:szCs w:val="28"/>
        </w:rPr>
        <w:t xml:space="preserve"> служба (ЕДДС), на которую возложена координация действий всех слу</w:t>
      </w:r>
      <w:r w:rsidR="00837016">
        <w:rPr>
          <w:color w:val="052635"/>
          <w:sz w:val="28"/>
          <w:szCs w:val="28"/>
        </w:rPr>
        <w:t>жб при возникнове</w:t>
      </w:r>
      <w:r>
        <w:rPr>
          <w:color w:val="052635"/>
          <w:sz w:val="28"/>
          <w:szCs w:val="28"/>
        </w:rPr>
        <w:t>нии аварийных ситуаций. Телефон ЕДДС</w:t>
      </w:r>
      <w:r w:rsidR="00837016">
        <w:rPr>
          <w:color w:val="052635"/>
          <w:sz w:val="28"/>
          <w:szCs w:val="28"/>
        </w:rPr>
        <w:t xml:space="preserve"> доведен до сведения населения через СМИ. Круглосуточно каждый житель района имеет возможность получать помощь или необходимую информацию.</w:t>
      </w:r>
    </w:p>
    <w:p w:rsidR="003F12A1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>
        <w:rPr>
          <w:color w:val="333333"/>
          <w:sz w:val="28"/>
          <w:szCs w:val="28"/>
        </w:rPr>
        <w:t xml:space="preserve"> поступивших в администрацию </w:t>
      </w:r>
      <w:r w:rsidR="00A775D1">
        <w:rPr>
          <w:color w:val="333333"/>
          <w:sz w:val="28"/>
          <w:szCs w:val="28"/>
        </w:rPr>
        <w:t xml:space="preserve">за </w:t>
      </w:r>
      <w:r w:rsidR="00FD654A">
        <w:rPr>
          <w:color w:val="333333"/>
          <w:sz w:val="28"/>
          <w:szCs w:val="28"/>
        </w:rPr>
        <w:t>20</w:t>
      </w:r>
      <w:r w:rsidR="003F12A1">
        <w:rPr>
          <w:color w:val="333333"/>
          <w:sz w:val="28"/>
          <w:szCs w:val="28"/>
        </w:rPr>
        <w:t>21</w:t>
      </w:r>
      <w:r w:rsidR="00FD654A">
        <w:rPr>
          <w:color w:val="333333"/>
          <w:sz w:val="28"/>
          <w:szCs w:val="28"/>
        </w:rPr>
        <w:t xml:space="preserve"> год</w:t>
      </w:r>
      <w:r w:rsidRPr="000959E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</w:t>
      </w:r>
    </w:p>
    <w:p w:rsidR="003F12A1" w:rsidRDefault="003F12A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</w:p>
    <w:p w:rsidR="003F12A1" w:rsidRPr="000959E1" w:rsidRDefault="003F12A1" w:rsidP="003F12A1">
      <w:pPr>
        <w:pStyle w:val="a3"/>
        <w:shd w:val="clear" w:color="auto" w:fill="FFFFFF"/>
        <w:spacing w:before="0" w:beforeAutospacing="0" w:after="150" w:afterAutospacing="0"/>
        <w:ind w:left="-851" w:right="-57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>За отчетный период в администрацию МО «Шовгеновский район» поступило  84 обращения граждан по различным вопросам.</w:t>
      </w:r>
    </w:p>
    <w:p w:rsidR="003F12A1" w:rsidRDefault="003F12A1" w:rsidP="003F12A1">
      <w:pPr>
        <w:spacing w:after="0" w:line="240" w:lineRule="auto"/>
        <w:ind w:left="-851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 оказания материальной помощи</w:t>
      </w:r>
      <w:r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помещениях, включение несовершеннолетних детей в состав семьи) и другие вопросы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F12A1" w:rsidRPr="00C157C7" w:rsidRDefault="003F12A1" w:rsidP="003F12A1">
      <w:pPr>
        <w:spacing w:after="0" w:line="240" w:lineRule="auto"/>
        <w:ind w:left="-851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F12A1" w:rsidRDefault="003F12A1" w:rsidP="003F12A1">
      <w:pPr>
        <w:ind w:left="-851" w:right="-57"/>
        <w:jc w:val="both"/>
        <w:rPr>
          <w:sz w:val="28"/>
          <w:szCs w:val="28"/>
        </w:rPr>
      </w:pPr>
      <w:r>
        <w:rPr>
          <w:sz w:val="28"/>
          <w:szCs w:val="28"/>
        </w:rPr>
        <w:t>-жилищный- 49, из них по 39- вопрос решен положительно, по 8- даны письменные разъяснения; 2- на стадии рассмотрения;</w:t>
      </w:r>
    </w:p>
    <w:p w:rsidR="003F12A1" w:rsidRDefault="003F12A1" w:rsidP="003F12A1">
      <w:pPr>
        <w:ind w:left="-851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предоставлении </w:t>
      </w:r>
      <w:proofErr w:type="gramStart"/>
      <w:r>
        <w:rPr>
          <w:sz w:val="28"/>
          <w:szCs w:val="28"/>
        </w:rPr>
        <w:t>запрашиваемых</w:t>
      </w:r>
      <w:proofErr w:type="gramEnd"/>
      <w:r>
        <w:rPr>
          <w:sz w:val="28"/>
          <w:szCs w:val="28"/>
        </w:rPr>
        <w:t xml:space="preserve"> документов-1, даны письменные разъяснения;</w:t>
      </w:r>
    </w:p>
    <w:p w:rsidR="003F12A1" w:rsidRDefault="003F12A1" w:rsidP="003F12A1">
      <w:pPr>
        <w:ind w:left="-851" w:right="-57"/>
        <w:jc w:val="both"/>
        <w:rPr>
          <w:sz w:val="28"/>
          <w:szCs w:val="28"/>
        </w:rPr>
      </w:pPr>
      <w:r>
        <w:rPr>
          <w:sz w:val="28"/>
          <w:szCs w:val="28"/>
        </w:rPr>
        <w:t>-о языковой политике в республике-1, даны письменные разъяснения;</w:t>
      </w:r>
    </w:p>
    <w:p w:rsidR="003F12A1" w:rsidRDefault="003F12A1" w:rsidP="003F12A1">
      <w:pPr>
        <w:ind w:left="-851" w:right="-57"/>
        <w:jc w:val="both"/>
        <w:rPr>
          <w:sz w:val="28"/>
          <w:szCs w:val="28"/>
        </w:rPr>
      </w:pPr>
      <w:r>
        <w:rPr>
          <w:sz w:val="28"/>
          <w:szCs w:val="28"/>
        </w:rPr>
        <w:t>-перебои электроэнергии- 1,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3F12A1" w:rsidRDefault="003F12A1" w:rsidP="003F12A1">
      <w:pPr>
        <w:ind w:left="-851" w:right="-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материальная</w:t>
      </w:r>
      <w:proofErr w:type="gramEnd"/>
      <w:r>
        <w:rPr>
          <w:sz w:val="28"/>
          <w:szCs w:val="28"/>
        </w:rPr>
        <w:t xml:space="preserve"> помощь-10; из них по 8- вопрос решен положительно, по 2 –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перебоях в водоснабжении-2,</w:t>
      </w:r>
      <w:r w:rsidRPr="00CE1F8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устные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благоустройству 1,</w:t>
      </w:r>
      <w:r w:rsidRPr="0007093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-о рассмотрении обращения с выездом на место с участием заявителя (заливает двор после дождя)-1,</w:t>
      </w:r>
      <w:r w:rsidRPr="0007093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 ликвидации последствий стихийных бедствий и Ч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обследование балагана для выращивания клубники на предмет причинения ущерба после снегопада)-1,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лечении, оказании медицинской помощи -1,</w:t>
      </w:r>
      <w:r w:rsidRPr="001E689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решен положительно;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проведении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мероприятий-1,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-о выплате  заработной платы работникам социальной сферы-1,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 деятельности организаций сферы культуры и их руководителей-1,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строительстве и реконструкции дорог – 3,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земельный-3,</w:t>
      </w:r>
      <w:r w:rsidRPr="00E2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даны письменные разъяснения; 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газификация домовладения- 3,</w:t>
      </w:r>
      <w:r w:rsidRPr="00E24725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-об увековечении памяти о репрессированных односельчанах пострадавших от репрессий в 30-х годах прошлого века, путем установки памятного знака в а. Хакуринохабль -1, даны письменные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нарушениях в сфере ЖКХ – 1, даны разъяснения;</w:t>
      </w:r>
    </w:p>
    <w:p w:rsidR="003F12A1" w:rsidRDefault="003F12A1" w:rsidP="003F12A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-об обустройстве остановки для школьников -1,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3F12A1" w:rsidRPr="00116471" w:rsidRDefault="003F12A1" w:rsidP="003F12A1">
      <w:pPr>
        <w:ind w:left="-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 - трудоустройство – 1, даны письменные разъяснения.</w:t>
      </w:r>
    </w:p>
    <w:p w:rsidR="00277CCB" w:rsidRDefault="000959E1" w:rsidP="003F12A1">
      <w:pPr>
        <w:pStyle w:val="a3"/>
        <w:shd w:val="clear" w:color="auto" w:fill="FFFFFF"/>
        <w:spacing w:before="0" w:beforeAutospacing="0" w:after="150" w:afterAutospacing="0"/>
        <w:ind w:left="-851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CB5C69" w:rsidRPr="000959E1" w:rsidRDefault="008B3726" w:rsidP="003F12A1">
      <w:pPr>
        <w:ind w:left="-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     </w:t>
      </w:r>
      <w:r w:rsidR="00E84E15">
        <w:rPr>
          <w:color w:val="333333"/>
          <w:sz w:val="28"/>
          <w:szCs w:val="28"/>
        </w:rPr>
        <w:t xml:space="preserve">                    </w:t>
      </w:r>
    </w:p>
    <w:p w:rsidR="007112BF" w:rsidRDefault="007112BF" w:rsidP="007112BF">
      <w:pPr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</w:t>
      </w:r>
      <w:r w:rsidRPr="000959E1">
        <w:rPr>
          <w:rFonts w:ascii="Times New Roman" w:hAnsi="Times New Roman" w:cs="Times New Roman"/>
          <w:sz w:val="28"/>
          <w:szCs w:val="28"/>
        </w:rPr>
        <w:lastRenderedPageBreak/>
        <w:t>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AC3DEF">
        <w:rPr>
          <w:rFonts w:ascii="Times New Roman" w:hAnsi="Times New Roman" w:cs="Times New Roman"/>
          <w:sz w:val="28"/>
          <w:szCs w:val="28"/>
        </w:rPr>
        <w:t>20</w:t>
      </w:r>
      <w:r w:rsidR="003F12A1">
        <w:rPr>
          <w:rFonts w:ascii="Times New Roman" w:hAnsi="Times New Roman" w:cs="Times New Roman"/>
          <w:sz w:val="28"/>
          <w:szCs w:val="28"/>
        </w:rPr>
        <w:t xml:space="preserve">21 год </w:t>
      </w:r>
      <w:r w:rsidRPr="000959E1">
        <w:rPr>
          <w:rFonts w:ascii="Times New Roman" w:hAnsi="Times New Roman" w:cs="Times New Roman"/>
          <w:sz w:val="28"/>
          <w:szCs w:val="28"/>
        </w:rPr>
        <w:t>фактов обращений граждан по коррупционным вопросам не выявлено.</w:t>
      </w:r>
      <w:r w:rsidR="00DD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43" w:rsidRPr="000959E1" w:rsidRDefault="00D27F43" w:rsidP="007112BF">
      <w:pPr>
        <w:ind w:left="-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С января 2014 года  в администрации МО «Шовгеновский район» ведется работа с обращениями  граждан по заполнению формы отчета о результатах рассмотрения обращений граждан, адресованных Президенту Российской Федерации, и принятых по ним мерах  в разделе «Результаты рассмотрения обращений» на портале ССТУ.РФ.</w:t>
      </w:r>
    </w:p>
    <w:p w:rsidR="0034706E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45DAC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12A1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93939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7211E"/>
    <w:rsid w:val="006805CE"/>
    <w:rsid w:val="006973B4"/>
    <w:rsid w:val="006A6AC3"/>
    <w:rsid w:val="006A7ABB"/>
    <w:rsid w:val="006B5BAA"/>
    <w:rsid w:val="006C43A4"/>
    <w:rsid w:val="006C7826"/>
    <w:rsid w:val="006D5061"/>
    <w:rsid w:val="007064C4"/>
    <w:rsid w:val="007112BF"/>
    <w:rsid w:val="00717095"/>
    <w:rsid w:val="007308F7"/>
    <w:rsid w:val="0074630F"/>
    <w:rsid w:val="007E45F2"/>
    <w:rsid w:val="007E591A"/>
    <w:rsid w:val="00826F05"/>
    <w:rsid w:val="00837016"/>
    <w:rsid w:val="00850BFC"/>
    <w:rsid w:val="00852CD7"/>
    <w:rsid w:val="00856047"/>
    <w:rsid w:val="00861E91"/>
    <w:rsid w:val="0089340A"/>
    <w:rsid w:val="008B3726"/>
    <w:rsid w:val="008D1B30"/>
    <w:rsid w:val="008E3943"/>
    <w:rsid w:val="008F1FD1"/>
    <w:rsid w:val="00935245"/>
    <w:rsid w:val="00937277"/>
    <w:rsid w:val="0099701F"/>
    <w:rsid w:val="009A6630"/>
    <w:rsid w:val="009E5524"/>
    <w:rsid w:val="009F5F5A"/>
    <w:rsid w:val="00A75A15"/>
    <w:rsid w:val="00A775D1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940EF"/>
    <w:rsid w:val="00BB11A4"/>
    <w:rsid w:val="00BE570F"/>
    <w:rsid w:val="00BE6B25"/>
    <w:rsid w:val="00C9010F"/>
    <w:rsid w:val="00CB51B6"/>
    <w:rsid w:val="00CB5C69"/>
    <w:rsid w:val="00CF0AF2"/>
    <w:rsid w:val="00D27F43"/>
    <w:rsid w:val="00D35A07"/>
    <w:rsid w:val="00D613AE"/>
    <w:rsid w:val="00D7774E"/>
    <w:rsid w:val="00D9043F"/>
    <w:rsid w:val="00D97BB4"/>
    <w:rsid w:val="00DD09F4"/>
    <w:rsid w:val="00E00A32"/>
    <w:rsid w:val="00E84E15"/>
    <w:rsid w:val="00E923FE"/>
    <w:rsid w:val="00EE7752"/>
    <w:rsid w:val="00F73EC9"/>
    <w:rsid w:val="00F77424"/>
    <w:rsid w:val="00FA5167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1055-82B8-4FAC-AA6A-DF10571A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6</cp:revision>
  <cp:lastPrinted>2021-12-30T08:54:00Z</cp:lastPrinted>
  <dcterms:created xsi:type="dcterms:W3CDTF">2021-12-30T08:48:00Z</dcterms:created>
  <dcterms:modified xsi:type="dcterms:W3CDTF">2022-01-10T12:35:00Z</dcterms:modified>
</cp:coreProperties>
</file>